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C3616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44162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24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  <w:bookmarkStart w:id="0" w:name="_GoBack"/>
      <w:bookmarkEnd w:id="0"/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44162F" w:rsidRPr="0050433E" w:rsidRDefault="003743C3" w:rsidP="0044162F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신화통신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경제사회는 하나의 동적인 순환 시스템으로 장기간 정체되어서는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아니됨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거시정책은 역주기적 조절에 무게를 두어야 하며 리듬과 강도는 코로나1</w:t>
      </w:r>
      <w:r w:rsidRPr="003743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9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사태의 영향 </w:t>
      </w:r>
      <w:proofErr w:type="spellStart"/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헤징이</w:t>
      </w:r>
      <w:proofErr w:type="spellEnd"/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가능해야 함.</w:t>
      </w:r>
      <w:r w:rsidRPr="003743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경제 운영이 합리적인 구간을 이탈하거나 단기적 충격이 추세적 변화로 이어지는 것을 방지해야 함.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적극적인 재정정책은 적극적인 실행이 필요함. 이미 출범된 재정의 금리보조, 행정비용 대대적 인하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세금 납기 연장 등 정책이 가능한 빠른 속도로 기업에 적용될 수 있도록 서둘러야 함. </w:t>
      </w:r>
    </w:p>
    <w:p w:rsidR="0044162F" w:rsidRDefault="003743C3" w:rsidP="003743C3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탕숭데이터</w:t>
      </w:r>
      <w:proofErr w:type="spellEnd"/>
      <w:r w:rsidRP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(唐宋</w:t>
      </w: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數據</w:t>
      </w:r>
      <w:r w:rsidRP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) </w:t>
      </w:r>
      <w:r w:rsidRPr="003743C3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철강재 시장의 총 재고가 역대 최고치인 </w:t>
      </w:r>
      <w:r w:rsidRPr="003743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3,428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만톤을 기록하면서 공장</w:t>
      </w:r>
      <w:r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들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의 재고가 한계치를 넘어섰으며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그럼에도 불구하고 매일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만톤의 철강재가 지속적으로 생산되고 있음. 업계 전문가들은 기업들이 환상을 포기하고 대폭 감산으로 위기를 극복할 것을 호소. 야금공업계획연구원 당위서기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리신촹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李新創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 철강제조업체의 조업 중단은 아주 어려운 결정이라고 표명.</w:t>
      </w:r>
    </w:p>
    <w:p w:rsidR="003743C3" w:rsidRDefault="003743C3" w:rsidP="003743C3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한국 </w:t>
      </w:r>
      <w:r w:rsidRPr="003743C3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P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Pr="003743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9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위기 경보를 최고 단계인 </w:t>
      </w:r>
      <w:r w:rsidRPr="003743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심각</w:t>
      </w:r>
      <w:r w:rsidRPr="003743C3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’</w:t>
      </w:r>
      <w:proofErr w:type="spellStart"/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으로</w:t>
      </w:r>
      <w:proofErr w:type="spellEnd"/>
      <w:r w:rsidRPr="003743C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격상.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오후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 기준, 한국 국내에서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3C54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 인한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사망자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명 발생. 한국 대구시는 감염 확산을 막기 위해 모든 집회장소 강제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폐쇠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확진자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440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명이 대구시와 경상북도 청도군에서 발생한 집단적 감염과 연관성 있음. 한국 정부는 사상 최초로 전국 모든 유치원과 초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중•고교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개학을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주 연기하기로 결정.  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6B2434" w:rsidRDefault="006B2434" w:rsidP="0044162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44162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온갖 어려움을 극복하고 노력한 결과 코로나1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확산 추세가 긍정적인 변화를 보이고 있음</w:t>
      </w:r>
      <w:r w:rsidR="00344F3F"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성과를 충분히 인정</w:t>
      </w:r>
      <w:r w:rsidR="003C54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동시에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각급 당위 및 정부는 마비 심리, 심리적 피로감, 요행 심리가 나타나는 것을 고도로 경계해야 하며 제반 방역 업무를 확실하게 추진해야 함.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완전히 소멸될 때까지 성공을 논하여서는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아니됨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6B2434" w:rsidRPr="006B2434" w:rsidRDefault="006B2434" w:rsidP="006B243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B243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lastRenderedPageBreak/>
        <w:t xml:space="preserve">IMF </w:t>
      </w:r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총재 </w:t>
      </w:r>
      <w:proofErr w:type="spellStart"/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크리스티나</w:t>
      </w:r>
      <w:proofErr w:type="spellEnd"/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게오르기에바</w:t>
      </w:r>
      <w:proofErr w:type="spellEnd"/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6B243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이미 출범된 정책의 실행을 기반으로 중국이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정상적인 수준</w:t>
      </w:r>
      <w:r w:rsidR="003C54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회복한다는 가정하에 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2020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세계 경제성장률 전망치를 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3.3%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에서 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3.2%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로 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0.1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포인트 하향조정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 이러한 가정하에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사태가 세계 경제에 미치는 영향은 상대적으로 작고 단기적. </w:t>
      </w:r>
    </w:p>
    <w:p w:rsidR="009E3DE4" w:rsidRDefault="006B2434" w:rsidP="0044162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중신증권(中信證券</w:t>
      </w:r>
      <w:r w:rsidRPr="006B243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6B243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올해 </w:t>
      </w:r>
      <w:proofErr w:type="spellStart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첫번째</w:t>
      </w:r>
      <w:proofErr w:type="spellEnd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“</w:t>
      </w:r>
      <w:proofErr w:type="spellStart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톈컹</w:t>
      </w:r>
      <w:proofErr w:type="spellEnd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塡坑</w:t>
      </w:r>
      <w:proofErr w:type="spellEnd"/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)”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시세를 견인한 에너지가 약화되고 있으며 시장은 일정 기간의 평화기에 진입 예정. 산업자본의 시장 유입과 </w:t>
      </w:r>
      <w:proofErr w:type="spellStart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펀더멘탈</w:t>
      </w:r>
      <w:proofErr w:type="spellEnd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회복에 따른 </w:t>
      </w:r>
      <w:proofErr w:type="spellStart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두번째</w:t>
      </w:r>
      <w:proofErr w:type="spellEnd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상승세는 </w:t>
      </w:r>
      <w:r w:rsidRPr="006B24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분기에 </w:t>
      </w:r>
      <w:proofErr w:type="spellStart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타나날</w:t>
      </w:r>
      <w:proofErr w:type="spellEnd"/>
      <w:r w:rsidRPr="006B24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전망.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업무재개와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경제 데이터 등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신호, 금리 추세 등 유동성 신호, 거래량 및 </w:t>
      </w:r>
      <w:r w:rsidR="003C54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투자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스타일 분화 등 시장신호를 포함한 “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톈컹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塡坑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시세의 종결을 의미하는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신호를 면밀히 주시할 것을 건의.</w:t>
      </w:r>
    </w:p>
    <w:p w:rsidR="009E3DE4" w:rsidRDefault="009E3DE4" w:rsidP="0044162F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E3DE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세계보건기구 </w:t>
      </w:r>
      <w:r w:rsidRPr="009E3DE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“2019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 바이러스(</w:t>
      </w:r>
      <w:r w:rsidRPr="0044162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COVID-19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모기를 통한 확산 여부에 대해 </w:t>
      </w:r>
      <w:r w:rsidRPr="009E3DE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현재까지 </w:t>
      </w:r>
      <w:r w:rsidRPr="0044162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COVID-19</w:t>
      </w:r>
      <w:r w:rsidRPr="009E3DE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 모기를 통해 확산될 수 있음을 증명하는 정보 또는 증거가 없다고 응답.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COVID-19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바이러스는 호흡기 질환을 유발하는 바이러스로 감염자의 기침 또는 재채기에서 나오는 비말, 타액 비말, 콧물 등을 통해 전파.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알콜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손세정제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또는 비누로 손을 자주 씻어주고 기침 또는 재채기 증상이 있는 자와의 밀접접촉을 피하면 충분히 감염 방지 가능.</w:t>
      </w:r>
    </w:p>
    <w:p w:rsidR="0044162F" w:rsidRPr="009E3DE4" w:rsidRDefault="009E3DE4" w:rsidP="009E3DE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9E3DE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워렌</w:t>
      </w:r>
      <w:proofErr w:type="spellEnd"/>
      <w:r w:rsidRPr="009E3DE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9E3DE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퍼빗의</w:t>
      </w:r>
      <w:proofErr w:type="spellEnd"/>
      <w:r w:rsidRPr="009E3DE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주주 서한 </w:t>
      </w:r>
      <w:r w:rsidRPr="009E3DE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3C54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순유형자본으로</w:t>
      </w:r>
      <w:proofErr w:type="spellEnd"/>
      <w:r w:rsidRPr="003C54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양호한 수익 창출, 유능하고 성실한 경영인, 합리적인 가격으로 매입 가능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 세가지 기준에 부합하는 기업을 지속적으로 물색 중.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이러한 기준에 부합하는 기업 발견 시 우리의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첫번째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선택은 지분을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매입하는 것. 단, 이러한 기준에 부합하는 대규모 거래 기회는 아주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드뭄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Default="00F624FB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44162F" w:rsidRPr="00363268" w:rsidRDefault="009E3DE4" w:rsidP="0044162F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공적금센터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F624FB" w:rsidRPr="00F624F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3632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기업이 납기 연장 정책에 따라 </w:t>
      </w:r>
      <w:proofErr w:type="spellStart"/>
      <w:r w:rsidRPr="003632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공적금</w:t>
      </w:r>
      <w:proofErr w:type="spellEnd"/>
      <w:r w:rsidRPr="003632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납기를 연장하는 것은 종업원의 권익에 영향을 미치지 않음.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일까지의 기간에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주택공적금대출금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상환이 정상적으로 이뤄지지 아니한 경우 종업원의 신청에 </w:t>
      </w:r>
      <w:r w:rsidR="003632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변제</w:t>
      </w:r>
      <w:r w:rsidR="003632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기일 경과로 처리하지 아니하며 관련 기록을 신용기록관리부서로 전송하지 아니함.</w:t>
      </w:r>
    </w:p>
    <w:p w:rsidR="00363268" w:rsidRPr="00183F8B" w:rsidRDefault="00183F8B" w:rsidP="0044162F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183F8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화타이증권</w:t>
      </w:r>
      <w:proofErr w:type="spellEnd"/>
      <w:r w:rsidRPr="00183F8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183F8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華泰證券</w:t>
      </w:r>
      <w:proofErr w:type="spellEnd"/>
      <w:r w:rsidRPr="00183F8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183F8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183F8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183F8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부동산 산업사슬이 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영향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을 크게 받았으나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산업사슬이 상대적 긴 관계로 정책의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헤징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경제 견인 효과 양호.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도시별로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실정에 맞게 정책을 펼치는 배경 속에서 </w:t>
      </w:r>
      <w:r w:rsidRPr="00183F8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향후 부동산 통제 정책이 진일보 완화될 공간이 존재하며 주택 가격이 하락한 도시에서 부동산 통제 정책이 </w:t>
      </w:r>
      <w:proofErr w:type="spellStart"/>
      <w:r w:rsidRPr="00183F8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와환될</w:t>
      </w:r>
      <w:proofErr w:type="spellEnd"/>
      <w:r w:rsidRPr="00183F8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가능성이 더 큼.</w:t>
      </w:r>
    </w:p>
    <w:p w:rsidR="00F624FB" w:rsidRPr="00F624FB" w:rsidRDefault="00F624FB" w:rsidP="00F624F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44162F" w:rsidRPr="00DB4E8E" w:rsidRDefault="00DB4E8E" w:rsidP="0044162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하이퉁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海通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쉰위건</w:t>
      </w:r>
      <w:proofErr w:type="spellEnd"/>
      <w:r w:rsidR="00F8642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(財經早餐</w:t>
      </w:r>
      <w:r w:rsidR="00F8642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616C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8642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연초부터 시작된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강세장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구도에는 변화가 없으며 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한해의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핵심은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수익율이고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구조전환 방향에 부합하는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과학시기술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+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증권사가 앞서갈 전망. 최근 시장이 급락 후 신속하게 반등할 수 있었던 것은 충분한 유동성 때문. </w:t>
      </w:r>
      <w:proofErr w:type="spellStart"/>
      <w:r w:rsidRPr="00DB4E8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펀더멘탈</w:t>
      </w:r>
      <w:proofErr w:type="spellEnd"/>
      <w:r w:rsidRPr="00DB4E8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악화의 영향을 주시할 필요가 있으며 홍콩증시는 이미 하락.</w:t>
      </w:r>
    </w:p>
    <w:p w:rsidR="00DB4E8E" w:rsidRDefault="00D04990" w:rsidP="0044162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0499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중신(中信</w:t>
      </w:r>
      <w:r w:rsidRPr="00D0499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D0499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건설 </w:t>
      </w:r>
      <w:r w:rsidRPr="00D0499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시장이 단기적으로 하락 시 투자자들은 기회를 잡아 </w:t>
      </w:r>
      <w:proofErr w:type="spellStart"/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추가매입할</w:t>
      </w:r>
      <w:proofErr w:type="spellEnd"/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 있음.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기업들이 점차적으로 영업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조업을 재개하면서 일전에 수요가 압축된 자동차, 식품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음료수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가전제품, 외식•관광업 등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소비테마주는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다시 반등할 전망이며 추가매입 권장. 자본시장 개혁 및 충분한 유동성의 혜택을 입은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증권사테마주와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산업 경기 회복, 유동성 정책이 뒷받침해주고 있고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기술테마주는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기존 보유량 유지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권장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DD434F" w:rsidRPr="00DD434F" w:rsidRDefault="00DD434F" w:rsidP="0044162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화타이</w:t>
      </w:r>
      <w:proofErr w:type="spellEnd"/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華泰</w:t>
      </w:r>
      <w:proofErr w:type="spellEnd"/>
      <w:r w:rsidRPr="00DD434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r w:rsidRPr="00DD434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미시적 데이터 분석에 의하면 영업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조업 전면 재개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임박. 자금이 점차적으로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가상경제에서 벗어나 실물경제로 유입되고 있고 신규 펀드의 집중적인 발행시기가 지나가면서 </w:t>
      </w:r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과학기술테마주의 가치 확장이 지속되기 어려울 전망.</w:t>
      </w:r>
    </w:p>
    <w:p w:rsidR="00DD434F" w:rsidRDefault="00DD434F" w:rsidP="0044162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중국증권보</w:t>
      </w:r>
      <w:proofErr w:type="spellEnd"/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中證報</w:t>
      </w:r>
      <w:proofErr w:type="spellEnd"/>
      <w:r w:rsidRPr="00DD434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DD434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DD434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화샤중증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華夏中證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신에너지자동차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ETF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인수청약 투자자 수와 인수청약 금액이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18.51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107.63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기록하면서 사상 최초로 모집규모가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돌파한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ETF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탄생. </w:t>
      </w:r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이는 </w:t>
      </w:r>
      <w:proofErr w:type="spellStart"/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백억위안</w:t>
      </w:r>
      <w:proofErr w:type="spellEnd"/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규모의 자금이 </w:t>
      </w:r>
      <w:r w:rsidRPr="00DD434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25</w:t>
      </w:r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개의 </w:t>
      </w:r>
      <w:proofErr w:type="spellStart"/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신에너지자동차테마주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</w:t>
      </w:r>
      <w:proofErr w:type="spellEnd"/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투자할 예정임</w:t>
      </w:r>
      <w:r w:rsidRPr="00DD434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을 뜻함.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펀드업계 관계자들은 현재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신에너지자동차테마주의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가격이 싼 편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아니지만 산업발전추세가 주가에 보다 큰 영향을 미친다고 분석.</w:t>
      </w:r>
    </w:p>
    <w:p w:rsidR="00D04990" w:rsidRPr="00506860" w:rsidRDefault="003F4EC3" w:rsidP="0044162F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F4EC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증상중국(</w:t>
      </w:r>
      <w:proofErr w:type="spellStart"/>
      <w:r w:rsidRPr="003F4EC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券商中國</w:t>
      </w:r>
      <w:proofErr w:type="spellEnd"/>
      <w:r w:rsidRPr="003F4E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3F4EC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3F4E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3F4EC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재융자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정책 출범으로 시장 정서 고조. </w:t>
      </w:r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아주 짧은 </w:t>
      </w:r>
      <w:r w:rsidRPr="0011368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</w:t>
      </w:r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 거래일 내에 최소 </w:t>
      </w:r>
      <w:r w:rsidRPr="0011368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42</w:t>
      </w:r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 사장회사가 </w:t>
      </w:r>
      <w:proofErr w:type="spellStart"/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재융자를</w:t>
      </w:r>
      <w:proofErr w:type="spellEnd"/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늘리거나 일전의 </w:t>
      </w:r>
      <w:proofErr w:type="spellStart"/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재융자</w:t>
      </w:r>
      <w:proofErr w:type="spellEnd"/>
      <w:r w:rsidRPr="0011368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방안을 수정할 계획이라고 발표.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36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대부분 상장회사들은 </w:t>
      </w:r>
      <w:r w:rsidR="0011368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20%</w:t>
      </w:r>
      <w:r w:rsidR="001136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할인하는 방</w:t>
      </w:r>
      <w:r w:rsidR="001136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안을 선택했으며 대주주 또는 기관투자자들이 </w:t>
      </w:r>
      <w:proofErr w:type="spellStart"/>
      <w:r w:rsidR="001136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전액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인수</w:t>
      </w:r>
      <w:r w:rsidR="001136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</w:t>
      </w:r>
      <w:proofErr w:type="spellEnd"/>
      <w:r w:rsidR="0011368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경우가 늘어나고 있음.</w:t>
      </w:r>
    </w:p>
    <w:p w:rsidR="0044162F" w:rsidRPr="00CB281D" w:rsidRDefault="0044162F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44162F" w:rsidRDefault="006619A6" w:rsidP="006619A6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교육부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과학기술부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DC25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&lt;고등학교의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SCI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논문 관련 지표 사용을 규율하고 정확한 평가방향 확립에 관한 의견&gt;을 발표해 </w:t>
      </w:r>
      <w:r w:rsidRPr="006619A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논문의 </w:t>
      </w:r>
      <w:r w:rsidRPr="006619A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‘SCI </w:t>
      </w:r>
      <w:r w:rsidRPr="006619A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지상(至上</w:t>
      </w:r>
      <w:r w:rsidRPr="006619A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)’</w:t>
      </w:r>
      <w:r w:rsidRPr="006619A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타파 명확히 요구.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과학연구평가가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SCI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논문 관련 지표에 과도하게 치우쳐 있으며 제반 평가 업무에서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SCI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논문 관련 지표의 사용을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규율할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필요가 있음. 성격과 량을 결합한 종합적인 평가방식을 채택할 것을 권장.</w:t>
      </w:r>
    </w:p>
    <w:p w:rsidR="006619A6" w:rsidRDefault="006619A6" w:rsidP="006619A6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28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중국신문사 </w:t>
      </w:r>
      <w:r w:rsidRPr="00BE28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Pr="00BE28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</w:t>
      </w:r>
      <w:proofErr w:type="spellStart"/>
      <w:r w:rsidR="00BE28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베이더우</w:t>
      </w:r>
      <w:proofErr w:type="spellEnd"/>
      <w:r w:rsidR="00BE28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(北斗</w:t>
      </w:r>
      <w:r w:rsidR="00BE28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E28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E28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E28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 위성시스템의 마지막 </w:t>
      </w:r>
      <w:proofErr w:type="spellStart"/>
      <w:r w:rsidR="00BE28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두개</w:t>
      </w:r>
      <w:proofErr w:type="spellEnd"/>
      <w:r w:rsidR="00BE28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위성을 발사해 </w:t>
      </w:r>
      <w:proofErr w:type="spellStart"/>
      <w:r w:rsidR="00BE28F9"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베이더우</w:t>
      </w:r>
      <w:proofErr w:type="spellEnd"/>
      <w:r w:rsidR="00BE28F9"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(北斗</w:t>
      </w:r>
      <w:r w:rsidR="00BE28F9"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BE28F9"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글로벌 시스템 구축을 완료할 예정.</w:t>
      </w:r>
    </w:p>
    <w:p w:rsidR="00BE28F9" w:rsidRDefault="00BE28F9" w:rsidP="006619A6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28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중국영화발행방영협회 </w:t>
      </w:r>
      <w:r w:rsidRPr="00BE28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중국영화발행방영협회 기술분회(分會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영화관 영업재개 준비 업무에 관한 건의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발표. 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영화관의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스크린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,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3D 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설비 보유 상황에 근거하여 과학적, 합리적으로 방영계획을 짜야 하며 설비에 문제 발생 시 적시에 다른 </w:t>
      </w:r>
      <w:proofErr w:type="spellStart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방영실로</w:t>
      </w:r>
      <w:proofErr w:type="spellEnd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교체해야 함.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영업 재개에 앞서 방영설비, 방영실의 온도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습도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등에 대해 상세하게 규정할 것을 건의.</w:t>
      </w:r>
    </w:p>
    <w:p w:rsidR="00BE28F9" w:rsidRDefault="00BE28F9" w:rsidP="006619A6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28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BE28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중국은행보험감독관리위원회 안방(安邦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그룹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경영권접수팀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팀장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허샤오펑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何肖鋒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의하면, 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현재 </w:t>
      </w:r>
      <w:proofErr w:type="spellStart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다쟈</w:t>
      </w:r>
      <w:proofErr w:type="spellEnd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(大家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보험그룹</w:t>
      </w:r>
      <w:r w:rsidR="001237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전략적투자자</w:t>
      </w:r>
      <w:proofErr w:type="spellEnd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유치</w:t>
      </w:r>
      <w:r w:rsidR="001237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 적극적으로 추진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중에 있고 민간인 투자자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이미 확정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한 상태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거래계약 체결 후 은행보험감독관리위원회에 제출하여 승인 절차를 이행할 예정.</w:t>
      </w:r>
    </w:p>
    <w:p w:rsidR="00BE28F9" w:rsidRDefault="00BE28F9" w:rsidP="006619A6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E28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현대쾌보(現代快報</w:t>
      </w:r>
      <w:r w:rsidRPr="00BE28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BE28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BE28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쟝수</w:t>
      </w:r>
      <w:proofErr w:type="spellEnd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江蘇</w:t>
      </w:r>
      <w:proofErr w:type="spellEnd"/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성은 관할구역 내 모든 고속도로 출입구, 톨게이트, </w:t>
      </w:r>
      <w:proofErr w:type="spellStart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휴계소</w:t>
      </w:r>
      <w:proofErr w:type="spellEnd"/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 성(省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경계선 및 국도(國道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)•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성도(省道</w:t>
      </w:r>
      <w:r w:rsidRPr="00BE28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BE28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간선에 설치된 방역검사관리소를 즉시 철거할 것을 요구.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방역검사관리소 설치가 확실히 필요한 경우 성(省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정부에 보고하여 승인을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받아햐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하며 인원 추가, 통로 추가, 절차 개선 등 조치를 통해 검역업무의 효율을 개선할 것을 요구.  </w:t>
      </w:r>
    </w:p>
    <w:p w:rsidR="00D9234B" w:rsidRPr="00D9234B" w:rsidRDefault="00D9234B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A67027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에너지국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석탄사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사장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루쥔링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魯俊嶺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046A4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A6702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사태로 석탄 생산량에 초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 xml:space="preserve">래된 영향이 기본적으로 해소된 상태이며 </w:t>
      </w:r>
      <w:proofErr w:type="spellStart"/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생산재개율이</w:t>
      </w:r>
      <w:proofErr w:type="spellEnd"/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지난해 </w:t>
      </w:r>
      <w:proofErr w:type="spellStart"/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동기간대와</w:t>
      </w:r>
      <w:proofErr w:type="spellEnd"/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동일한 수준에 도달.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일을 기준으로 전국 석탄 생산능력은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31.7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억톤,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생산재개율은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76.5%,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833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만톤에 도달했으며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가까이 증가.</w:t>
      </w:r>
    </w:p>
    <w:p w:rsidR="00A67027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상관(上觀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뉴스 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상하이(上海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린강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臨港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신구관리위원회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첨단기술산업및과학기술혁신처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순샤오허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孫篠和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의하면,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상하이 슈퍼공장의 월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생산량이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12,000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대로 예상되며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 숫자는 향후 점차적으로 늘어날 것.</w:t>
      </w:r>
    </w:p>
    <w:p w:rsidR="00A67027" w:rsidRPr="00A67027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proofErr w:type="spellStart"/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민용항공국</w:t>
      </w:r>
      <w:proofErr w:type="spellEnd"/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일을 기준으로, 전국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공항 건설 프로젝트 중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청두톈푸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(成都天府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 등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이전 신축 프로젝트,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항저우샤오산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杭州蕭山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국제공항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 프로젝트 등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개축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증축 프로젝트가 공사를 재개했고 공사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재개율은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17%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26%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상승.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국가중대건설프로젝트 공사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재개율은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42%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도달.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이와 동시에 </w:t>
      </w:r>
      <w:proofErr w:type="spellStart"/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민용항공국은</w:t>
      </w:r>
      <w:proofErr w:type="spellEnd"/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복수의 중대 공항 건설 프로젝트 착공을 적극적으로 추진 중에 있음.</w:t>
      </w:r>
    </w:p>
    <w:p w:rsidR="00A67027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증권시보(證券時報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개월간 전지의 주요 전극재료인 석유 코크스 가격 폭등. 중국의 주요 지방 정유업체인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강소신해석화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江蘇新海石化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석유 코크스 톤당 출고가격은 각각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850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1,650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위안으로 9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4.12%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상승. 기타 지방 정유업체의 가격 상승폭은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80%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상하 수준.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A6702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사태의 영향으로 석유 코크스 공급이 대폭 감소되면서 석유 코크스 가격이 </w:t>
      </w:r>
      <w:r w:rsidR="001237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지속적으로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상승할 전망.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67027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MySteel</w:t>
      </w:r>
      <w:proofErr w:type="spellEnd"/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지난주 금요일 국내 철강재 현물가격 지수가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직전주대비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131.77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마감. 거시정책의 효과와 자본시장의 자신감 회복으로 현물 시장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긍정적인 변화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나타나기 시작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단기적으로 철강재 수급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여전히 큰 압박이 가해질 것이나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철강재 시장의 전반적인 하락세가 완화될 것으로 예상되며 일부 시장에서 상승세가 연출되거나 바닥 근처에서 등락을 반복하는 시세가 연출될 전망.</w:t>
      </w:r>
    </w:p>
    <w:p w:rsidR="00A67027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A670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A670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계란 적체 국면을 완화하기 위한 조치로 신선계란 인수가격 보조 정책 출범.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양계장(농가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적체된 신선계란 인수 시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톤당 </w:t>
      </w:r>
      <w:r w:rsidRPr="00A6702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250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위안의 운임</w:t>
      </w:r>
      <w:r w:rsidRPr="00A6702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전기요금 보조금 지</w:t>
      </w:r>
      <w:r w:rsidR="001237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원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44162F" w:rsidRDefault="00A67027" w:rsidP="0044162F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제일재경(第一財經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상하이(上海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민싱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(閔行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 정부가 대형 슈퍼마켓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Costco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경영진과 긴급면담을 통해 방문객 수를 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할 것을 요구. 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이에 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C</w:t>
      </w:r>
      <w:r w:rsidR="001237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ostco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닭구이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크로아상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6702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인기상품의 판매를 중단하고 매장 내부에 단일방향의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이동경를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설치하며 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매장 내부의 고객 수를 </w:t>
      </w:r>
      <w:r w:rsidRPr="00A6702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1,000</w:t>
      </w:r>
      <w:r w:rsidRPr="00A6702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명으로 제한할 예정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</w:p>
    <w:p w:rsidR="002A36D4" w:rsidRPr="002A36D4" w:rsidRDefault="002A36D4" w:rsidP="00FE23E4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44162F" w:rsidRPr="000E39B6" w:rsidRDefault="00E65631" w:rsidP="0044162F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lang w:eastAsia="ko-KR"/>
        </w:rPr>
        <w:t>베이징청년보</w:t>
      </w:r>
      <w:proofErr w:type="spellEnd"/>
      <w:r w:rsidR="00281732">
        <w:rPr>
          <w:rStyle w:val="a6"/>
          <w:rFonts w:ascii="굴림" w:eastAsia="굴림" w:hAnsi="굴림" w:cs="Helvetica" w:hint="eastAsia"/>
          <w:color w:val="002060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lang w:eastAsia="ko-KR"/>
        </w:rPr>
        <w:t>北京靑年</w:t>
      </w:r>
      <w:r w:rsidR="00281732">
        <w:rPr>
          <w:rStyle w:val="a6"/>
          <w:rFonts w:ascii="굴림" w:eastAsia="굴림" w:hAnsi="굴림" w:cs="Helvetica" w:hint="eastAsia"/>
          <w:color w:val="002060"/>
          <w:lang w:eastAsia="ko-KR"/>
        </w:rPr>
        <w:t>報</w:t>
      </w:r>
      <w:proofErr w:type="spellEnd"/>
      <w:r w:rsidR="00281732">
        <w:rPr>
          <w:rStyle w:val="a6"/>
          <w:rFonts w:ascii="굴림" w:eastAsia="굴림" w:hAnsi="굴림" w:cs="Helvetica"/>
          <w:color w:val="002060"/>
          <w:lang w:eastAsia="ko-KR"/>
        </w:rPr>
        <w:t>)</w:t>
      </w:r>
      <w:r w:rsidR="00744D55"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="00744D55" w:rsidRPr="004A3581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베이징(北京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시 질병통제예방센터 부주임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팡싱훠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(尨星火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의 </w:t>
      </w:r>
      <w:proofErr w:type="spellStart"/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당당왕</w:t>
      </w:r>
      <w:proofErr w:type="spellEnd"/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</w:t>
      </w:r>
      <w:proofErr w:type="spellStart"/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當當網</w:t>
      </w:r>
      <w:proofErr w:type="spellEnd"/>
      <w:r w:rsidR="000E39B6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직원 코로나1</w:t>
      </w:r>
      <w:r w:rsidR="000E39B6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9</w:t>
      </w:r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감염사례에 대한 설명에 의하면 해당 사례는 가정 내부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에서 발생한</w:t>
      </w:r>
      <w:r w:rsidR="000E39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집단적 사례로 추정하고 있으며 </w:t>
      </w:r>
      <w:r w:rsidR="000E39B6" w:rsidRPr="000E39B6">
        <w:rPr>
          <w:rStyle w:val="a6"/>
          <w:rFonts w:ascii="굴림" w:eastAsia="굴림" w:hAnsi="굴림" w:cs="Helvetica"/>
          <w:color w:val="C00000"/>
          <w:lang w:eastAsia="ko-KR"/>
        </w:rPr>
        <w:t>82</w:t>
      </w:r>
      <w:r w:rsidR="000E39B6" w:rsidRPr="000E39B6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명의 </w:t>
      </w:r>
      <w:proofErr w:type="spellStart"/>
      <w:r w:rsidR="000E39B6" w:rsidRPr="000E39B6">
        <w:rPr>
          <w:rStyle w:val="a6"/>
          <w:rFonts w:ascii="굴림" w:eastAsia="굴림" w:hAnsi="굴림" w:cs="Helvetica" w:hint="eastAsia"/>
          <w:color w:val="C00000"/>
          <w:lang w:eastAsia="ko-KR"/>
        </w:rPr>
        <w:t>밀접접촉자에</w:t>
      </w:r>
      <w:proofErr w:type="spellEnd"/>
      <w:r w:rsidR="000E39B6" w:rsidRPr="000E39B6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 대해 집중 격리 관찰 실시 중.</w:t>
      </w:r>
    </w:p>
    <w:p w:rsidR="0044162F" w:rsidRPr="000E39B6" w:rsidRDefault="000E39B6" w:rsidP="0044162F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</w:pPr>
      <w:r w:rsidRPr="000E39B6">
        <w:rPr>
          <w:rStyle w:val="a6"/>
          <w:rFonts w:ascii="굴림" w:eastAsia="굴림" w:hAnsi="굴림" w:cs="Helvetica"/>
          <w:color w:val="002060"/>
          <w:lang w:eastAsia="ko-KR"/>
        </w:rPr>
        <w:t>Jiemian.com(</w:t>
      </w:r>
      <w:r w:rsidRPr="000E39B6">
        <w:rPr>
          <w:rStyle w:val="a6"/>
          <w:rFonts w:ascii="굴림" w:eastAsia="굴림" w:hAnsi="굴림" w:cs="Helvetica" w:hint="eastAsia"/>
          <w:color w:val="002060"/>
          <w:lang w:eastAsia="ko-KR"/>
        </w:rPr>
        <w:t>界面</w:t>
      </w:r>
      <w:r w:rsidRPr="000E39B6">
        <w:rPr>
          <w:rStyle w:val="a6"/>
          <w:rFonts w:ascii="굴림" w:eastAsia="굴림" w:hAnsi="굴림" w:cs="Helvetica"/>
          <w:color w:val="002060"/>
          <w:lang w:eastAsia="ko-KR"/>
        </w:rPr>
        <w:t>)</w:t>
      </w:r>
      <w:r w:rsidRPr="000E39B6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Pr="000E39B6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Pr="000E39B6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조업재개율을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확대하기 위해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폭스콘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정저우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(鄭州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공장은 </w:t>
      </w:r>
      <w:r w:rsidRPr="000E39B6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신입사원 장려금을 </w:t>
      </w:r>
      <w:r w:rsidRPr="000E39B6">
        <w:rPr>
          <w:rStyle w:val="a6"/>
          <w:rFonts w:ascii="굴림" w:eastAsia="굴림" w:hAnsi="굴림" w:cs="Helvetica"/>
          <w:color w:val="C00000"/>
          <w:lang w:eastAsia="ko-KR"/>
        </w:rPr>
        <w:t>7,000</w:t>
      </w:r>
      <w:r w:rsidRPr="000E39B6">
        <w:rPr>
          <w:rStyle w:val="a6"/>
          <w:rFonts w:ascii="굴림" w:eastAsia="굴림" w:hAnsi="굴림" w:cs="Helvetica" w:hint="eastAsia"/>
          <w:color w:val="C00000"/>
          <w:lang w:eastAsia="ko-KR"/>
        </w:rPr>
        <w:t>위안으로 인상.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현재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폭스콘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정저우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(鄭州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공장의 종업원 수는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만명을 돌파했으며 입사면접도 지속적으로 진행 중.  </w:t>
      </w:r>
    </w:p>
    <w:p w:rsidR="00F624FB" w:rsidRPr="00046A40" w:rsidRDefault="00F624FB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484B82" w:rsidRPr="00EC6F0F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3321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0386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주간으로는 </w:t>
      </w:r>
      <w:r w:rsidRP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CF2045" w:rsidRP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8468</w:t>
      </w:r>
      <w:r w:rsidRP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%</w:t>
      </w:r>
      <w:r w:rsidRP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 </w:t>
      </w:r>
      <w:r w:rsidR="00CF2045" w:rsidRP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.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2628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하락한 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021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Pr="00EC6F0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주</w:t>
      </w:r>
      <w:r w:rsidRPr="00466F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간으로는 </w:t>
      </w:r>
      <w:r w:rsidRPr="00466F49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CF2045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525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5</w:t>
      </w:r>
      <w:r w:rsidRPr="00466F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하락</w:t>
      </w:r>
      <w:r w:rsidRPr="00EC6F0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.</w:t>
      </w:r>
    </w:p>
    <w:p w:rsidR="00484B82" w:rsidRPr="00484B82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080E96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N판 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300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E판 4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61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Q판 9,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345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개사를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해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총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가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되어 있음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  <w:r w:rsidRPr="00080E96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등록기업 수는 전주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대비 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증가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046A40" w:rsidRPr="00682CFF" w:rsidRDefault="00046A40" w:rsidP="00682CF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7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21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506546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신규 등록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거래금액은 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01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</w:t>
      </w:r>
      <w:proofErr w:type="spellStart"/>
      <w:r w:rsid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직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전주대비</w:t>
      </w:r>
      <w:proofErr w:type="spellEnd"/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484B82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4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53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증가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26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>사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CF2045" w:rsidRPr="00CF2045" w:rsidRDefault="00CF2045" w:rsidP="00CF2045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제일재경(第一財經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A6702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미국 질병생태학자 </w:t>
      </w:r>
      <w:r w:rsidRPr="00CF204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Kevin </w:t>
      </w:r>
      <w:proofErr w:type="spellStart"/>
      <w:r w:rsidRPr="00CF204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Olival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의하면, </w:t>
      </w:r>
      <w:r w:rsidRPr="00CF204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박쥐</w:t>
      </w:r>
      <w:r w:rsidRPr="00CF204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SARS</w:t>
      </w:r>
      <w:r w:rsidRPr="00CF204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관련 코로나바이러스가 활발하게 인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류</w:t>
      </w:r>
      <w:r w:rsidRPr="00CF204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의 체내로 침투 중.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모든 바이러스가 치명적인 유행병을 유발하지는 않음. 단, 이러한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상황이 보다 빈번하게 발생할 수록 감염 확산 사태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초래</w:t>
      </w:r>
      <w:r w:rsidR="001237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기회도 증가함.  </w:t>
      </w:r>
    </w:p>
    <w:p w:rsidR="008E066A" w:rsidRPr="005E434B" w:rsidRDefault="008E066A" w:rsidP="0044162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44162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 거래일보다 </w:t>
      </w:r>
      <w:r w:rsidR="008B4ED9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78</w:t>
      </w:r>
      <w:r w:rsidR="00117D16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E47270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lastRenderedPageBreak/>
        <w:t>2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8992</w:t>
      </w:r>
      <w:r w:rsidR="00117616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41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1.38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3507F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3507F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8B4ED9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05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8B4ED9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37.75</w:t>
      </w:r>
      <w:r w:rsidR="00B23896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40224D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117616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117616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5E434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1.79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C625B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576.59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 w:rsidRP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1.59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5E434B"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6B11BF" w:rsidRPr="00690168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온스당 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B23896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75%</w:t>
      </w:r>
      <w:r w:rsidR="00CD66B2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535CB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648.8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5E434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3.9</w:t>
      </w:r>
      <w:r w:rsidR="00117616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</w:t>
      </w:r>
      <w:r w:rsidR="008B4ED9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117616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8B4ED9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93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38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5E434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</w:t>
      </w:r>
      <w:r w:rsidR="008B4ED9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56</w:t>
      </w:r>
      <w:r w:rsidR="001F3564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117616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FC091F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11761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5E434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2</w:t>
      </w:r>
      <w:r w:rsidR="00117616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</w:t>
      </w:r>
      <w:r w:rsidR="005E434B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06</w:t>
      </w:r>
      <w:r w:rsidR="004535CB" w:rsidRPr="00117616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117616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447722" w:rsidRPr="00117616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F4" w:rsidRDefault="00FF29F4" w:rsidP="00674340">
      <w:r>
        <w:separator/>
      </w:r>
    </w:p>
  </w:endnote>
  <w:endnote w:type="continuationSeparator" w:id="0">
    <w:p w:rsidR="00FF29F4" w:rsidRDefault="00FF29F4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F4" w:rsidRDefault="00FF29F4" w:rsidP="00674340">
      <w:r>
        <w:separator/>
      </w:r>
    </w:p>
  </w:footnote>
  <w:footnote w:type="continuationSeparator" w:id="0">
    <w:p w:rsidR="00FF29F4" w:rsidRDefault="00FF29F4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3"/>
  </w:num>
  <w:num w:numId="5">
    <w:abstractNumId w:val="20"/>
  </w:num>
  <w:num w:numId="6">
    <w:abstractNumId w:val="9"/>
  </w:num>
  <w:num w:numId="7">
    <w:abstractNumId w:val="14"/>
  </w:num>
  <w:num w:numId="8">
    <w:abstractNumId w:val="2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2"/>
  </w:num>
  <w:num w:numId="14">
    <w:abstractNumId w:val="12"/>
  </w:num>
  <w:num w:numId="15">
    <w:abstractNumId w:val="3"/>
  </w:num>
  <w:num w:numId="16">
    <w:abstractNumId w:val="6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16"/>
  </w:num>
  <w:num w:numId="22">
    <w:abstractNumId w:val="17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47DE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519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4F3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3381"/>
    <w:rsid w:val="003E4671"/>
    <w:rsid w:val="003E4C74"/>
    <w:rsid w:val="003E5984"/>
    <w:rsid w:val="003E5FB2"/>
    <w:rsid w:val="003E61A0"/>
    <w:rsid w:val="003E63A6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2466"/>
    <w:rsid w:val="005C45D8"/>
    <w:rsid w:val="005C4DB5"/>
    <w:rsid w:val="005C4E62"/>
    <w:rsid w:val="005C4E6D"/>
    <w:rsid w:val="005C6A84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630B"/>
    <w:rsid w:val="00686934"/>
    <w:rsid w:val="00686DBA"/>
    <w:rsid w:val="00690168"/>
    <w:rsid w:val="00692371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1C23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F88"/>
    <w:rsid w:val="00842D0B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4173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65F2"/>
    <w:rsid w:val="00AE6A59"/>
    <w:rsid w:val="00AE75CA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1DD9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C2B"/>
    <w:rsid w:val="00BB108D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96F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B4E8E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47270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28A"/>
    <w:rsid w:val="00E92DA7"/>
    <w:rsid w:val="00E9450A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83"/>
    <w:rsid w:val="00F6179F"/>
    <w:rsid w:val="00F61F4F"/>
    <w:rsid w:val="00F624FB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DF5"/>
    <w:rsid w:val="00FF019B"/>
    <w:rsid w:val="00FF1E48"/>
    <w:rsid w:val="00FF298A"/>
    <w:rsid w:val="00FF29F4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45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EE10-5604-4031-A6C8-7EDDC981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7724</TotalTime>
  <Pages>7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2166</cp:revision>
  <dcterms:created xsi:type="dcterms:W3CDTF">2019-03-11T05:35:00Z</dcterms:created>
  <dcterms:modified xsi:type="dcterms:W3CDTF">2020-02-24T06:57:00Z</dcterms:modified>
</cp:coreProperties>
</file>