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54" w:rsidRPr="00F50AFF" w:rsidRDefault="00F50AFF" w:rsidP="00F50AFF">
      <w:pPr>
        <w:snapToGrid w:val="0"/>
        <w:spacing w:line="360" w:lineRule="auto"/>
        <w:jc w:val="center"/>
        <w:rPr>
          <w:rFonts w:ascii="微软雅黑" w:eastAsia="微软雅黑" w:hAnsi="微软雅黑" w:hint="eastAsia"/>
          <w:sz w:val="40"/>
          <w:szCs w:val="40"/>
        </w:rPr>
      </w:pPr>
      <w:r w:rsidRPr="00F50AFF">
        <w:rPr>
          <w:rFonts w:ascii="微软雅黑" w:eastAsia="微软雅黑" w:hAnsi="微软雅黑" w:hint="eastAsia"/>
          <w:sz w:val="40"/>
          <w:szCs w:val="40"/>
        </w:rPr>
        <w:t>【财经早餐】2016.8.8星期一</w:t>
      </w:r>
    </w:p>
    <w:p w:rsidR="00F50AFF" w:rsidRPr="00F50AFF" w:rsidRDefault="00F50AFF" w:rsidP="00F50AFF">
      <w:pPr>
        <w:snapToGrid w:val="0"/>
        <w:spacing w:line="360" w:lineRule="auto"/>
        <w:rPr>
          <w:rFonts w:ascii="微软雅黑" w:eastAsia="微软雅黑" w:hAnsi="微软雅黑" w:hint="eastAsia"/>
          <w:szCs w:val="21"/>
        </w:rPr>
      </w:pP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一、宏观、数据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1、央行：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7月，外汇储备32010.57亿美元，环比减少41.05亿美元。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申万宏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源表示，7月汇兑损益部分外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储上升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了59亿美元，因此非汇兑损益部分外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储下降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实际上比数据看起来更多。外部环境的动荡使人民币贬值预期逐渐升温。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2、海通证券荀玉根：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6月以来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国改再次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提速，中央领导及巡视组频繁提及国企改革，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央企试点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全面铺开，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地方国改频频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发力。上海是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地方国改领头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羊，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7月上海市领导强调</w:t>
      </w:r>
      <w:proofErr w:type="gramStart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掀起国改</w:t>
      </w:r>
      <w:proofErr w:type="gramEnd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新高潮，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亮点如国资运作平台、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混改等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3、人民日报：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农民不愿“农转非”背后，反映出新时期农民利益的多元需求。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重视城镇化背后的多元诉求，要破除阻碍农村人口落户的制度性因素。城镇化是一个水到渠成的过程，不是速度越快越好。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4、</w:t>
      </w:r>
      <w:proofErr w:type="gramStart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发改委</w:t>
      </w:r>
      <w:proofErr w:type="gramEnd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罗松山：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投资回报率下降、市场预期趋弱，是导致民间投资下滑的主导因素。投什么都能挣钱的时代已经过去了。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遏制民间投资增速下滑的出路是坚持让市场出清、降低投资成本，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同时加快改革步伐，扫除投资障碍。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5、方正证券任泽平：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2014－2015年经济下行主要受房地产投资拖累，2016年初经济小周期企稳，主要受益于房地产销售投资触底回升，6月以来商品房销售投资再度回调，经济重回下行通道。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货币政策暂时中性。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6、中证网：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8月7日，清华大学发布《2016年中国市级政府财政透明度研究报告》。报告显示，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2016年全国295个地级及以上市政府财政透明度排名前3位的依次为北京、广州和上海，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与去年排名相同。</w:t>
      </w:r>
    </w:p>
    <w:p w:rsidR="00F50AFF" w:rsidRPr="00F50AFF" w:rsidRDefault="00160927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7</w:t>
      </w:r>
      <w:r w:rsidR="00F50AFF"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、人民网：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今年上半年，</w:t>
      </w:r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中关村示范区规模以上企业实现总收入18531.5亿元，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同比增长15.4%；利润总额1405亿元，同比增长7.8%。中关村是中国首个国家级自主创新示范区，目前有高新技术企业超2万家。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二、房产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lastRenderedPageBreak/>
        <w:t>1、新华社：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烂尾楼、“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一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房多卖”等房地产领域的一些问题容易造成社会矛盾。山东省近日出台《关于做好房地产领域易发问题治理工作的通知》，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将对房地产领域易发问题进行治理，并在2018年年底前基本完成。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2、厦门日报：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近日，住建部副部长倪虹在我市调研城市行政管理执法、地下综合管廊建设以及城市防洪排涝、海绵城市建设等工作。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倪虹要求各地住</w:t>
      </w:r>
      <w:proofErr w:type="gramStart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建部门</w:t>
      </w:r>
      <w:proofErr w:type="gramEnd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破解城市发展难题，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把城市规划好、建设好、管理好。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3、新华网：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从北京市住建委获悉，从2007年截至今年上半年，全市建设公租房累计已开工19.7万套，竣工10.35万套，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已分配房源累计达9.94万套。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近年来，北京市大力发展公租房，引导居民通过租赁方式解决住房困难。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三、市场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1、</w:t>
      </w:r>
      <w:proofErr w:type="gramStart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央广网</w:t>
      </w:r>
      <w:proofErr w:type="gramEnd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：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二</w:t>
      </w:r>
      <w:proofErr w:type="gramStart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维码支付</w:t>
      </w:r>
      <w:proofErr w:type="gramEnd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的市场地位正在受到监管层的认可。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中国支付清算协会最近下发了《条码支付业务规范》（征求意见稿），征求意见稿中明确指出，支付机构开展条码业务需要遵循安全标准。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2、澎湃新闻：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中国当前在运核电机组数达34台，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仅次于美国、法国、俄罗斯，位列全球第四。中国在建核电机组20台，是世界上核电发展最快的国家。截至7月，中国大陆核电总装机容量5500多万千瓦，同样位居世界第四。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3、我的钢铁：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最近一周，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国内现货钢</w:t>
      </w:r>
      <w:proofErr w:type="gramStart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价综合</w:t>
      </w:r>
      <w:proofErr w:type="gramEnd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指数报收于95.67点，周涨1.15%。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目前，黑色系期货产品价格又现大涨大跌走势，钢坯吨价已涨至2120元的价位。现货钢材市场的价格随着期货市场而波动，整体在震荡中走高。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4、新华社：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据悉，为支持山西省属七大煤炭集团化解过剩产能、加快转型升级，避免企业短贷长用引发风险，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山西省银行业将对焦煤、同煤、阳煤、</w:t>
      </w:r>
      <w:proofErr w:type="gramStart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潞</w:t>
      </w:r>
      <w:proofErr w:type="gramEnd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安、晋煤、晋能、</w:t>
      </w:r>
      <w:proofErr w:type="gramStart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山煤等</w:t>
      </w:r>
      <w:proofErr w:type="gramEnd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七大省属</w:t>
      </w:r>
      <w:proofErr w:type="gramStart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煤企全面</w:t>
      </w:r>
      <w:proofErr w:type="gramEnd"/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推广转型升级中长期专项贷款。</w:t>
      </w:r>
    </w:p>
    <w:p w:rsidR="00F50AFF" w:rsidRPr="00F50AFF" w:rsidRDefault="00160927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5</w:t>
      </w:r>
      <w:r w:rsidR="00F50AFF"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、新三板：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上周（8.1－8.5），新增231家挂牌公司，较前一周多增加139家；成交金额31.22亿，环比增加7.75%。截至目前，</w:t>
      </w:r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新三板挂牌公司总数达8147家,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今年以来累计发行股票融资763.82亿元。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四、股市</w:t>
      </w:r>
    </w:p>
    <w:p w:rsidR="00F50AFF" w:rsidRPr="00F50AFF" w:rsidRDefault="00160927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lastRenderedPageBreak/>
        <w:t>1</w:t>
      </w:r>
      <w:r w:rsidR="00F50AFF"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、沪深交易所：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截至5日上周最后一个交易日，</w:t>
      </w:r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沪深股市流通</w:t>
      </w:r>
      <w:proofErr w:type="gramStart"/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市值报</w:t>
      </w:r>
      <w:proofErr w:type="gramEnd"/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36.69</w:t>
      </w:r>
      <w:proofErr w:type="gramStart"/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万亿</w:t>
      </w:r>
      <w:proofErr w:type="gramEnd"/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，一周微涨0.07%。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两市股票平均价格9.96元，与上周持平。沪市上市公司1112家，平均市盈率14.79；深市上市公司1793家，平均市盈率39.75。</w:t>
      </w:r>
    </w:p>
    <w:p w:rsidR="00F50AFF" w:rsidRPr="00F50AFF" w:rsidRDefault="00160927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2</w:t>
      </w:r>
      <w:r w:rsidR="00F50AFF"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、南方都市报：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《上市公司重大资产重组管理办法》已于7月17日结束公开征求意见。近期，监管层明显加大了对于重组上市的监管力度。据不完全统计，</w:t>
      </w:r>
      <w:r w:rsidR="00F50AFF"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仅7月份以来，沪深两市先后就有52家上市公司宣布终止重大资产重组。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五、国际</w:t>
      </w:r>
    </w:p>
    <w:p w:rsidR="00F50AFF" w:rsidRPr="00F50AFF" w:rsidRDefault="00160927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1</w:t>
      </w:r>
      <w:r w:rsidR="00F50AFF"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、上周五，波罗的海干散货指数涨跌持平，报636点，</w:t>
      </w:r>
      <w:r w:rsidR="00F50AFF" w:rsidRPr="00F50AFF">
        <w:rPr>
          <w:rFonts w:ascii="微软雅黑" w:eastAsia="微软雅黑" w:hAnsi="微软雅黑" w:hint="eastAsia"/>
          <w:color w:val="3E3E3E"/>
          <w:sz w:val="21"/>
          <w:szCs w:val="21"/>
        </w:rPr>
        <w:t>周跌3.05%。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六、外汇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1、上周五，在岸人民币兑美元16:30收盘，报6.6452，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跌0.09%，周涨0.14%；</w:t>
      </w: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人民币</w:t>
      </w:r>
      <w:proofErr w:type="gramStart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中间价报</w:t>
      </w:r>
      <w:proofErr w:type="gramEnd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6.6406，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周涨0.16%。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2、招商证券</w:t>
      </w:r>
      <w:proofErr w:type="gramStart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谢亚轩</w:t>
      </w:r>
      <w:proofErr w:type="gramEnd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：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7月中旬开始，人民币汇率由弱转强，而外汇储备的降幅并未显著扩大，总体小于市场预期，这说明央行干预外汇市场的力度有限，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外汇市场供不应求的局面有所改善。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七、美股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1、上周五，道指涨1.04%，至18543.53点，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周涨0.6%；</w:t>
      </w:r>
      <w:proofErr w:type="gramStart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标普</w:t>
      </w:r>
      <w:proofErr w:type="gramEnd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500指数涨0.86%，至2182.87点，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周涨0.43%；</w:t>
      </w:r>
      <w:proofErr w:type="gramStart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纳指涨</w:t>
      </w:r>
      <w:proofErr w:type="gramEnd"/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1.06%，至5221.12点，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周涨1.14%。</w:t>
      </w:r>
    </w:p>
    <w:p w:rsidR="00F50AFF" w:rsidRPr="00F50AFF" w:rsidRDefault="00160927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八</w:t>
      </w:r>
      <w:r w:rsidR="00F50AFF" w:rsidRPr="00F50AFF">
        <w:rPr>
          <w:rStyle w:val="a4"/>
          <w:rFonts w:ascii="微软雅黑" w:eastAsia="微软雅黑" w:hAnsi="微软雅黑" w:hint="eastAsia"/>
          <w:color w:val="00B050"/>
          <w:sz w:val="21"/>
          <w:szCs w:val="21"/>
        </w:rPr>
        <w:t>、石油</w:t>
      </w:r>
    </w:p>
    <w:p w:rsidR="00F50AFF" w:rsidRPr="00F50AFF" w:rsidRDefault="00F50AFF" w:rsidP="00F50AF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35"/>
        <w:rPr>
          <w:rFonts w:ascii="微软雅黑" w:eastAsia="微软雅黑" w:hAnsi="微软雅黑" w:hint="eastAsia"/>
          <w:color w:val="3E3E3E"/>
          <w:sz w:val="21"/>
          <w:szCs w:val="21"/>
        </w:rPr>
      </w:pP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1、上周五，WTI9月原油期货跌0.31%，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至41.8美元／桶，周涨0.48%；</w:t>
      </w:r>
      <w:r w:rsidRPr="00F50AFF">
        <w:rPr>
          <w:rStyle w:val="a4"/>
          <w:rFonts w:ascii="微软雅黑" w:eastAsia="微软雅黑" w:hAnsi="微软雅黑" w:hint="eastAsia"/>
          <w:color w:val="002060"/>
          <w:sz w:val="21"/>
          <w:szCs w:val="21"/>
          <w:shd w:val="clear" w:color="auto" w:fill="FFFFFF"/>
        </w:rPr>
        <w:t>ICE布伦特9月原油期货跌0.05%，</w:t>
      </w:r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至44.27美元／桶，周涨4.26%。</w:t>
      </w:r>
      <w:proofErr w:type="gramStart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据外媒数据</w:t>
      </w:r>
      <w:proofErr w:type="gramEnd"/>
      <w:r w:rsidRPr="00F50AFF">
        <w:rPr>
          <w:rFonts w:ascii="微软雅黑" w:eastAsia="微软雅黑" w:hAnsi="微软雅黑" w:hint="eastAsia"/>
          <w:color w:val="3E3E3E"/>
          <w:sz w:val="21"/>
          <w:szCs w:val="21"/>
        </w:rPr>
        <w:t>，自2014年中期以来原油价格下跌开始，美国有19.5万人遭遇裁员，</w:t>
      </w:r>
      <w:r w:rsidRPr="00F50AFF">
        <w:rPr>
          <w:rStyle w:val="a4"/>
          <w:rFonts w:ascii="微软雅黑" w:eastAsia="微软雅黑" w:hAnsi="微软雅黑" w:hint="eastAsia"/>
          <w:color w:val="C00000"/>
          <w:sz w:val="21"/>
          <w:szCs w:val="21"/>
          <w:shd w:val="clear" w:color="auto" w:fill="FFFFFF"/>
        </w:rPr>
        <w:t>而背后的罪魁祸首就是廉价原油。</w:t>
      </w:r>
    </w:p>
    <w:p w:rsidR="00F50AFF" w:rsidRPr="00F50AFF" w:rsidRDefault="00F50AFF" w:rsidP="00F50AFF">
      <w:pPr>
        <w:snapToGrid w:val="0"/>
        <w:spacing w:line="360" w:lineRule="auto"/>
        <w:rPr>
          <w:szCs w:val="21"/>
        </w:rPr>
      </w:pPr>
    </w:p>
    <w:sectPr w:rsidR="00F50AFF" w:rsidRPr="00F50AFF" w:rsidSect="00E5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AFF"/>
    <w:rsid w:val="00160927"/>
    <w:rsid w:val="00E57A54"/>
    <w:rsid w:val="00F5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A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0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kimyz</cp:lastModifiedBy>
  <cp:revision>2</cp:revision>
  <dcterms:created xsi:type="dcterms:W3CDTF">2016-08-07T23:54:00Z</dcterms:created>
  <dcterms:modified xsi:type="dcterms:W3CDTF">2016-08-08T00:04:00Z</dcterms:modified>
</cp:coreProperties>
</file>