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9D3989">
        <w:rPr>
          <w:rFonts w:ascii="Gulim" w:eastAsiaTheme="minorEastAsia" w:hAnsi="Gulim" w:hint="eastAsia"/>
          <w:sz w:val="40"/>
          <w:szCs w:val="40"/>
        </w:rPr>
        <w:t>08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460D7C">
        <w:rPr>
          <w:rFonts w:ascii="Gulim" w:eastAsiaTheme="minorEastAsia" w:hAnsi="Gulim" w:hint="eastAsia"/>
          <w:sz w:val="40"/>
          <w:szCs w:val="40"/>
        </w:rPr>
        <w:t>2</w:t>
      </w:r>
      <w:r w:rsidR="00AF3D88">
        <w:rPr>
          <w:rFonts w:ascii="Gulim" w:eastAsiaTheme="minorEastAsia" w:hAnsi="Gulim" w:hint="eastAsia"/>
          <w:sz w:val="40"/>
          <w:szCs w:val="40"/>
        </w:rPr>
        <w:t>9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921428" w:rsidRPr="00812C9A" w:rsidRDefault="00AF3D88" w:rsidP="00AF3D88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팡정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hint="eastAsia"/>
          <w:color w:val="002060"/>
          <w:sz w:val="21"/>
          <w:szCs w:val="21"/>
          <w:lang w:eastAsia="ko-KR"/>
        </w:rPr>
        <w:t>方</w:t>
      </w:r>
      <w:r>
        <w:rPr>
          <w:rStyle w:val="a6"/>
          <w:rFonts w:ascii="Batang" w:eastAsia="Batang" w:hAnsi="Batang" w:cs="Batang" w:hint="eastAsia"/>
          <w:color w:val="002060"/>
          <w:sz w:val="21"/>
          <w:szCs w:val="21"/>
          <w:lang w:eastAsia="ko-KR"/>
        </w:rPr>
        <w:t>正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)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증권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런저핑</w:t>
      </w:r>
      <w:r w:rsidR="00C07D18"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任澤平</w:t>
      </w:r>
      <w:r w:rsidR="00C07D18"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2F50D2" w:rsidRPr="0092142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CPI, 경제와 부동산 가격 추세 그리고 미국의 기준금리 인상 가능성을 감안하여 </w:t>
      </w:r>
      <w:r w:rsidRPr="009D1E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단기적으로는 안정적이고 장기적으로는 완화적인 통화정책이 </w:t>
      </w:r>
      <w:r w:rsidR="00ED21F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펼쳐</w:t>
      </w:r>
      <w:r w:rsidRPr="009D1E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질 전망임.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미국의 기준금리 인상</w:t>
      </w:r>
      <w:r w:rsidR="00ED21F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으로 인해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국내의 통화정책</w:t>
      </w:r>
      <w:r w:rsidR="00ED21F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제한</w:t>
      </w:r>
      <w:r w:rsidR="00ED21F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 가해질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수는 있으나 현단계에는 영향이 그리 크지 않음</w:t>
      </w:r>
      <w:r w:rsidR="00E165B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AE0E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</w:t>
      </w:r>
    </w:p>
    <w:p w:rsidR="008B066A" w:rsidRDefault="007B611E" w:rsidP="00783A6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하이퉁(海通)증권 쟝차오</w:t>
      </w:r>
      <w:r w:rsidR="00D5729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姜超</w:t>
      </w:r>
      <w:r w:rsidR="00D5729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E63F9"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92FB5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지난주 </w:t>
      </w:r>
      <w:r w:rsidR="003313FC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중국인민은행의 </w:t>
      </w:r>
      <w:r w:rsidR="00692FB5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14일 역환매</w:t>
      </w:r>
      <w:r w:rsidR="003313FC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692FB5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재가동</w:t>
      </w:r>
      <w:r w:rsidR="003313FC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은 은행지급준</w:t>
      </w:r>
      <w:r w:rsidR="0020039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비</w:t>
      </w:r>
      <w:r w:rsidR="003313FC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금율 인하 등 완화적 통화정책의 시행시기가 재차 미뤄진 것으로 해석할 수 있음</w:t>
      </w:r>
      <w:r w:rsidR="00515109" w:rsidRPr="003313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3313F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인플레이션이 단기적 안정세를 유지하고 있고 부동산 버블이 확산되면서 단기적으로 은행지급준비금율 인하 및 기준금리 인하의 필요성이 극도로 떨어졌음.</w:t>
      </w:r>
      <w:r w:rsidR="00E2526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단, 글로별 경제가 여전히 불황을 겪고 있</w:t>
      </w:r>
      <w:r w:rsidR="008B066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 때문에 금리 인상의 가능성</w:t>
      </w:r>
      <w:r w:rsidR="002003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 w:rsidR="008B066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높지 않음.</w:t>
      </w:r>
    </w:p>
    <w:p w:rsidR="004B63CE" w:rsidRPr="00EE374D" w:rsidRDefault="005E4DEC" w:rsidP="00EE374D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인민일보</w:t>
      </w:r>
      <w:r w:rsidR="00B3393F" w:rsidRPr="00EE374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285E70" w:rsidRPr="00EE374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916C9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국내 대기업들은 '규모는 크지만 강하지는 못하다는' 문제점이 있음. 특히 세계 일류의 기업들과 경쟁할 수 있는 능력을 갖춘 대기업이 부족하고 합리적인 혁신, 국제화된 경영, 자원 통합, 기업 관리 등 면에서 비교적 큰 차이를 보이고 있으며 이익 창출 능력</w:t>
      </w:r>
      <w:r w:rsidR="00C926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 부족함</w:t>
      </w:r>
      <w:r w:rsidR="00814021" w:rsidRPr="00EE374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C926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92635" w:rsidRPr="00C9263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대기업들은 '몸체'뿐만이 아니라 '두뇌'도 같이 키워야 함.</w:t>
      </w:r>
    </w:p>
    <w:p w:rsidR="00A56955" w:rsidRPr="004F5F35" w:rsidRDefault="00E90B21" w:rsidP="00DF219B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</w:pPr>
      <w:r w:rsidRPr="00E90B2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</w:t>
      </w:r>
      <w:r w:rsidR="00C9263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국정부망(</w:t>
      </w:r>
      <w:r w:rsidR="00401DE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gov.cn</w:t>
      </w:r>
      <w:r w:rsidR="00C9263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</w:t>
      </w:r>
      <w:r w:rsidR="00CB3F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="004F5F35" w:rsidRPr="004F5F3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일전에 </w:t>
      </w:r>
      <w:r w:rsidR="004F5F3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국무원은 제3회 대규모 감찰을 가동하였음. </w:t>
      </w:r>
      <w:r w:rsidR="004F5F35" w:rsidRPr="004F5F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전국 31개 성(구·시), 신장(新疆)생산건설병단 및 국무원 관련부서가 감찰</w:t>
      </w:r>
      <w:r w:rsidR="002003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대상</w:t>
      </w:r>
      <w:r w:rsidR="004F5F35" w:rsidRPr="004F5F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범위에 포함되어 있으며 경제의 안정적 성장, 공급측 개혁 추진 등 네개 분야의 23개 </w:t>
      </w:r>
      <w:r w:rsidR="004F5F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업무를</w:t>
      </w:r>
      <w:r w:rsidR="004F5F35" w:rsidRPr="004F5F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중점으로 감찰</w:t>
      </w:r>
      <w:r w:rsidR="004F5F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</w:t>
      </w:r>
      <w:r w:rsidR="004F5F35" w:rsidRPr="004F5F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실시</w:t>
      </w:r>
      <w:r w:rsidR="004F5F3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하고 있음.</w:t>
      </w:r>
    </w:p>
    <w:p w:rsidR="004F5F35" w:rsidRPr="007E0C1C" w:rsidRDefault="004F5F35" w:rsidP="004F5F35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</w:pPr>
      <w:r w:rsidRPr="004F5F3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러우지웨이(樓繼偉) 재정부 부장 :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E0C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전반적으로 볼 때 </w:t>
      </w:r>
      <w:r w:rsidR="007E0C1C" w:rsidRPr="00EA55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올해 G20</w:t>
      </w:r>
      <w:r w:rsidR="00EA55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EA5548" w:rsidRPr="00EA55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재</w:t>
      </w:r>
      <w:r w:rsidR="00EA55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정</w:t>
      </w:r>
      <w:r w:rsidR="00EA5548" w:rsidRPr="00EA55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·금융 협력 채널은 연초에 설정한 제</w:t>
      </w:r>
      <w:r w:rsidR="007D2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반</w:t>
      </w:r>
      <w:r w:rsidR="00EA5548" w:rsidRPr="00EA55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업무목표를 기본적으로 달성함으로써 현저한 성과를 거두었</w:t>
      </w:r>
      <w:r w:rsidR="0020039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다고 볼 수 있</w:t>
      </w:r>
      <w:r w:rsidR="00EA5548" w:rsidRPr="00EA55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으며</w:t>
      </w:r>
      <w:r w:rsidR="00EA554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관련 성과</w:t>
      </w:r>
      <w:r w:rsidR="002003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</w:t>
      </w:r>
      <w:r w:rsidR="00EA554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항저우(杭州) G20회의에 제출할 예정임. 올해 G20회의 주최국인 중국은 선도국으로서의 역할을 충분히 발휘하여 G20 재정·금융 회의에서 '중국의 지혜'를 공헌할 것임.  </w:t>
      </w:r>
      <w:r w:rsidR="007E0C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7E0C1C" w:rsidRPr="00DF219B" w:rsidRDefault="007E0C1C" w:rsidP="007E0C1C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7E0C1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경제관찰보(經濟觀察報) :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B793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채권시장의 레버리지율이 높</w:t>
      </w:r>
      <w:r w:rsidR="007D2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 수준에 머물러 있는</w:t>
      </w:r>
      <w:r w:rsidR="00BB793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상황에서 중국인민은행</w:t>
      </w:r>
      <w:r w:rsidR="007D2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과 감독관리당국이</w:t>
      </w:r>
      <w:r w:rsidR="00BB793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금융 시스템의 안정성 유지</w:t>
      </w:r>
      <w:r w:rsidR="007D2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위한 레버</w:t>
      </w:r>
      <w:r w:rsidR="007D2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lastRenderedPageBreak/>
        <w:t xml:space="preserve">러지율 통제 조치를 취하기 시작했다고 </w:t>
      </w:r>
      <w:r w:rsidR="003C04F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민생(民生)증권 리치린(李奇霖)</w:t>
      </w:r>
      <w:r w:rsidR="007D2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전했음. </w:t>
      </w:r>
      <w:r w:rsidR="007D206F" w:rsidRPr="007D2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향후 채권시장의 레버리지율</w:t>
      </w:r>
      <w:r w:rsidR="007D2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</w:t>
      </w:r>
      <w:r w:rsidR="007D206F" w:rsidRPr="007D2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통제</w:t>
      </w:r>
      <w:r w:rsidR="007D2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범위를 벗어날</w:t>
      </w:r>
      <w:r w:rsidR="007D206F" w:rsidRPr="007D20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경우에 중국인민은행과 감독관리당국이 다시 손을 쓸 가능성이 대대적으로 증가하였음.</w:t>
      </w:r>
    </w:p>
    <w:p w:rsidR="00D95847" w:rsidRPr="00A56955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314A65" w:rsidRDefault="003D3175" w:rsidP="00DE7FE2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826B21" w:rsidRPr="000D201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86D48" w:rsidRPr="000D201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업계 내 관계자들은 대출제한 및 구매제한 정책</w:t>
      </w:r>
      <w:r w:rsidR="002003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일부 '과열' 도시에서만 시행되고 있</w:t>
      </w:r>
      <w:r w:rsidR="002003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이러한 '특</w:t>
      </w:r>
      <w:r w:rsidR="00773234"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정 지역</w:t>
      </w:r>
      <w:r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'</w:t>
      </w:r>
      <w:r w:rsidR="00773234"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, '특정 </w:t>
      </w:r>
      <w:r w:rsidR="00314A65"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목적</w:t>
      </w:r>
      <w:r w:rsidR="00773234"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'</w:t>
      </w:r>
      <w:r w:rsidR="00314A65"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="00773234" w:rsidRPr="00314A6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조정방식은 급증하고 있는 주택구매대출 특히 부동산 투기를 목적으로 한 주택구매대출 수요를 억제</w:t>
      </w:r>
      <w:r w:rsidR="00314A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함과 더불어 자산버블 억제 및 주택재고 해소의 균형을 유지하는 효과를 발휘</w:t>
      </w:r>
      <w:r w:rsidR="002003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할 수 있다고 보고 있음</w:t>
      </w:r>
      <w:r w:rsidR="000D201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B51CA4" w:rsidRPr="000D2018" w:rsidRDefault="00314A65" w:rsidP="008208E9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8208E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제일재경(</w:t>
      </w:r>
      <w:r w:rsidR="008208E9" w:rsidRPr="008208E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yicai.com</w:t>
      </w:r>
      <w:r w:rsidRPr="008208E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8208E9" w:rsidRPr="008208E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8208E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A02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맥쿼리(</w:t>
      </w:r>
      <w:r w:rsidR="00AA02AB" w:rsidRPr="00AA02AB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Macquarie</w:t>
      </w:r>
      <w:r w:rsidR="00AA02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 w:rsidR="000D201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A02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후웨이쥔(胡偉俊)은 중국의 이번 부동산 주기가 정점에 근접해 있으며 </w:t>
      </w:r>
      <w:r w:rsidR="00AA02AB" w:rsidRPr="00AA02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내년에</w:t>
      </w:r>
      <w:r w:rsidR="0020039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는</w:t>
      </w:r>
      <w:r w:rsidR="00AA02AB" w:rsidRPr="00AA02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하락 주기로 접어들 것</w:t>
      </w:r>
      <w:r w:rsidR="00AA02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이라는 전망을 내놓았음. </w:t>
      </w:r>
      <w:r w:rsidR="00F440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 경제에 있어 보다 중요한 것은 토지</w:t>
      </w:r>
      <w:r w:rsidR="002003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F4401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공급 불균형 문제와 금융상품 공급 부족 문제를 해결하는 것임.</w:t>
      </w:r>
    </w:p>
    <w:p w:rsidR="00E01874" w:rsidRPr="00200390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8925B5" w:rsidRPr="001C6D68" w:rsidRDefault="008925B5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신화통신 : </w:t>
      </w:r>
      <w:r w:rsidRPr="000D29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중국항공엔진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집단</w:t>
      </w:r>
      <w:r w:rsidRPr="000D29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공사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(中國航空發動機集團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公司)</w:t>
      </w:r>
      <w:r w:rsidRPr="000D29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20039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창립</w:t>
      </w:r>
      <w:r w:rsidRPr="000D29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대회가 거행됨.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중국 국가 주석 시진핑(習近平)은 중요한 지시를 내리고 공산</w:t>
      </w:r>
      <w:r w:rsidR="00200390">
        <w:rPr>
          <w:rFonts w:ascii="Gulim" w:eastAsia="Gulim" w:hAnsi="Gulim" w:hint="eastAsia"/>
          <w:color w:val="3E3E3E"/>
          <w:sz w:val="21"/>
          <w:szCs w:val="21"/>
          <w:lang w:eastAsia="ko-KR"/>
        </w:rPr>
        <w:t>당중앙의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200390">
        <w:rPr>
          <w:rFonts w:ascii="Gulim" w:eastAsia="Gulim" w:hAnsi="Gulim" w:hint="eastAsia"/>
          <w:color w:val="3E3E3E"/>
          <w:sz w:val="21"/>
          <w:szCs w:val="21"/>
          <w:lang w:eastAsia="ko-KR"/>
        </w:rPr>
        <w:t>중국항공엔진집단공사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설립</w:t>
      </w:r>
      <w:r w:rsidR="0020039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결정은 부국강병의 전략적</w:t>
      </w:r>
      <w:r w:rsidR="00200390">
        <w:rPr>
          <w:rFonts w:ascii="Gulim" w:eastAsia="Gulim" w:hAnsi="Gulim" w:hint="eastAsia"/>
          <w:color w:val="3E3E3E"/>
          <w:sz w:val="21"/>
          <w:szCs w:val="21"/>
          <w:lang w:eastAsia="ko-KR"/>
        </w:rPr>
        <w:t>인 차원에서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출발한 </w:t>
      </w:r>
      <w:r w:rsidR="00200390">
        <w:rPr>
          <w:rFonts w:ascii="Gulim" w:eastAsia="Gulim" w:hAnsi="Gulim" w:hint="eastAsia"/>
          <w:color w:val="3E3E3E"/>
          <w:sz w:val="21"/>
          <w:szCs w:val="21"/>
          <w:lang w:eastAsia="ko-KR"/>
        </w:rPr>
        <w:t>것으로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국유기업 개혁을 심화하고 항공공업체제</w:t>
      </w:r>
      <w:r w:rsidR="0020039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개혁을 추진하기 위한 중대한 조치라고 강조함.</w:t>
      </w:r>
      <w:r w:rsidRPr="001C6D68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</w:p>
    <w:p w:rsidR="008925B5" w:rsidRPr="00E42613" w:rsidRDefault="008925B5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1C6D6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我的鋼鐵(mysteel.com) :</w:t>
      </w:r>
      <w:r w:rsidRPr="001C6D6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C6D68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Pr="001C6D68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중국 강철현물종합지수는</w:t>
      </w:r>
      <w:r w:rsidRPr="0050588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주간 1.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81% </w:t>
      </w:r>
      <w:r w:rsidRPr="0050588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상승한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101</w:t>
      </w:r>
      <w:r w:rsidRPr="0050588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포인트로 거래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를</w:t>
      </w:r>
      <w:r w:rsidRPr="0050588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마감하였음</w:t>
      </w:r>
      <w:r w:rsidRPr="0050588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. </w:t>
      </w:r>
      <w:r w:rsidRPr="00505889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현재 블랙 계열 선물 제품의 가격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은 높게 상승하였다가 </w:t>
      </w:r>
      <w:r w:rsidR="00A313BE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반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락한 상태임. 이러한 영향으로 인해 강재 현물 시장 가격은 계속하여 요동치면서 상승하는 추세</w:t>
      </w:r>
      <w:r w:rsidR="00A1014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를 보이고 있음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.</w:t>
      </w:r>
      <w:r w:rsidR="00A1014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일부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시장 인사들은 현물 강철 가격이 요동</w:t>
      </w:r>
      <w:r w:rsidR="00A1014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치는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가운데 강세를 </w:t>
      </w:r>
      <w:r w:rsidR="00A1014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유지할 것으로 전망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.</w:t>
      </w:r>
    </w:p>
    <w:p w:rsidR="0065381B" w:rsidRPr="00354766" w:rsidRDefault="008925B5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</w:t>
      </w:r>
      <w:r w:rsidRPr="00784D8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삼판(新三板) :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지난주(8.15-8.19) , 신규 등록한 기업 수는 97개로 직전주에 비해 증가 기업 수가143개 감소되었고 거래금액은 31억위안으로 직전주 대비 15.73% 증가하였음.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현재 신</w:t>
      </w:r>
      <w:r w:rsidRPr="00314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삼판(新三板) 총 등록기업 수는 8,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877</w:t>
      </w:r>
      <w:r w:rsidRPr="00314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개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임.</w:t>
      </w:r>
    </w:p>
    <w:p w:rsidR="0095182D" w:rsidRPr="00366A28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lastRenderedPageBreak/>
        <w:t>증시</w:t>
      </w:r>
    </w:p>
    <w:p w:rsidR="008925B5" w:rsidRPr="00E42613" w:rsidRDefault="008925B5" w:rsidP="008925B5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Char"/>
          <w:b/>
          <w:bCs/>
          <w:color w:val="000000" w:themeColor="text1"/>
          <w:sz w:val="24"/>
          <w:szCs w:val="24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지난주 마지막 거래일인 8월 26일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까지 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 3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8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09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조위안으로 주간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1.08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감소하였음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10.35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위안으로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주간 1.04% 감소하였음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. 상하이 증시의 상장회사 수는 1,1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23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 평균 주가 수익율은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15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36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이며, 선전 증시의 상장회사 수는 1,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804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 평균 주가 수익율은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41.59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임.</w:t>
      </w:r>
      <w:r w:rsidRPr="00CC4726">
        <w:rPr>
          <w:rStyle w:val="Char"/>
          <w:rFonts w:ascii="微软雅黑" w:eastAsia="微软雅黑" w:hAnsi="微软雅黑" w:hint="eastAsia"/>
          <w:color w:val="002060"/>
          <w:lang w:eastAsia="ko-KR"/>
        </w:rPr>
        <w:t xml:space="preserve"> </w:t>
      </w:r>
    </w:p>
    <w:p w:rsidR="00E410B4" w:rsidRPr="00017D0A" w:rsidRDefault="00A10144" w:rsidP="008925B5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b/>
          <w:bCs/>
          <w:color w:val="000000" w:themeColor="text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광파(廣發)</w:t>
      </w:r>
      <w:r w:rsidR="008925B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8925B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="008925B5" w:rsidRPr="00E4261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“</w:t>
      </w:r>
      <w:r w:rsidR="008925B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하락하기 어렵고, 수익 </w:t>
      </w:r>
      <w:r w:rsidR="00E63C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창출 </w:t>
      </w:r>
      <w:r w:rsidR="008925B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효과가 부족한" 시장 특징이 매수와 매도에 모두 어려움을 조성하였음.</w:t>
      </w:r>
      <w:r w:rsidR="008925B5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향후 이러한 국면을 타개할 수 있는 잠재적인 요소는 </w:t>
      </w:r>
      <w:r w:rsidR="00E63C6F">
        <w:rPr>
          <w:rFonts w:ascii="Gulim" w:eastAsia="Gulim" w:hAnsi="Gulim" w:hint="eastAsia"/>
          <w:color w:val="3E3E3E"/>
          <w:sz w:val="21"/>
          <w:szCs w:val="21"/>
          <w:lang w:eastAsia="ko-KR"/>
        </w:rPr>
        <w:t>금리 인상</w:t>
      </w:r>
      <w:r w:rsidR="00234CFE">
        <w:rPr>
          <w:rFonts w:ascii="Gulim" w:eastAsia="Gulim" w:hAnsi="Gulim" w:hint="eastAsia"/>
          <w:color w:val="3E3E3E"/>
          <w:sz w:val="21"/>
          <w:szCs w:val="21"/>
          <w:lang w:eastAsia="ko-KR"/>
        </w:rPr>
        <w:t>임.</w:t>
      </w:r>
      <w:r w:rsidR="008925B5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234CFE">
        <w:rPr>
          <w:rFonts w:ascii="Gulim" w:eastAsia="Gulim" w:hAnsi="Gulim" w:hint="eastAsia"/>
          <w:color w:val="3E3E3E"/>
          <w:sz w:val="21"/>
          <w:szCs w:val="21"/>
          <w:lang w:eastAsia="ko-KR"/>
        </w:rPr>
        <w:t>그</w:t>
      </w:r>
      <w:r w:rsidR="008925B5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전에 시장은 "하락하기 어렵고 </w:t>
      </w:r>
      <w:r w:rsidR="00234CFE">
        <w:rPr>
          <w:rFonts w:ascii="Gulim" w:eastAsia="Gulim" w:hAnsi="Gulim" w:hint="eastAsia"/>
          <w:color w:val="3E3E3E"/>
          <w:sz w:val="21"/>
          <w:szCs w:val="21"/>
          <w:lang w:eastAsia="ko-KR"/>
        </w:rPr>
        <w:t>핫 이슈가</w:t>
      </w:r>
      <w:r w:rsidR="008925B5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234CFE">
        <w:rPr>
          <w:rFonts w:ascii="Gulim" w:eastAsia="Gulim" w:hAnsi="Gulim" w:hint="eastAsia"/>
          <w:color w:val="3E3E3E"/>
          <w:sz w:val="21"/>
          <w:szCs w:val="21"/>
          <w:lang w:eastAsia="ko-KR"/>
        </w:rPr>
        <w:t>급속히 변화</w:t>
      </w:r>
      <w:r w:rsidR="008925B5">
        <w:rPr>
          <w:rFonts w:ascii="Gulim" w:eastAsia="Gulim" w:hAnsi="Gulim" w:hint="eastAsia"/>
          <w:color w:val="3E3E3E"/>
          <w:sz w:val="21"/>
          <w:szCs w:val="21"/>
          <w:lang w:eastAsia="ko-KR"/>
        </w:rPr>
        <w:t>하는" 특징을 유지할 가능성이 있</w:t>
      </w:r>
      <w:r w:rsidR="00234CFE">
        <w:rPr>
          <w:rFonts w:ascii="Gulim" w:eastAsia="Gulim" w:hAnsi="Gulim" w:hint="eastAsia"/>
          <w:color w:val="3E3E3E"/>
          <w:sz w:val="21"/>
          <w:szCs w:val="21"/>
          <w:lang w:eastAsia="ko-KR"/>
        </w:rPr>
        <w:t>으며</w:t>
      </w:r>
      <w:r w:rsidR="008925B5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단기적으로 볼 때 계속하여 정부투자</w:t>
      </w:r>
      <w:r w:rsidR="00234CFE">
        <w:rPr>
          <w:rFonts w:ascii="Gulim" w:eastAsia="Gulim" w:hAnsi="Gulim" w:hint="eastAsia"/>
          <w:color w:val="3E3E3E"/>
          <w:sz w:val="21"/>
          <w:szCs w:val="21"/>
          <w:lang w:eastAsia="ko-KR"/>
        </w:rPr>
        <w:t>형 분야를</w:t>
      </w:r>
      <w:r w:rsidR="008925B5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추천함.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8925B5" w:rsidRPr="00E42613" w:rsidRDefault="008925B5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영국 &lt;인디펜던트&gt;</w:t>
      </w:r>
      <w:r w:rsidRPr="00E4261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：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독일 부총리는 </w:t>
      </w:r>
      <w:r w:rsidRPr="001E1F34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미국과 유럽연합 간의 범대서양 무역 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투자 </w:t>
      </w:r>
      <w:r w:rsidRPr="001E1F34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동반자 협정(TTIP) 협상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은</w:t>
      </w:r>
      <w:r w:rsidRPr="001E1F34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사실상 이미 실패하였으며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,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단지 어느 당사자도 이를 인정하려 하지 않을 뿐이라고 표시함. 유럽연합과 캐나다 간의 자유무역협정(CETA)이 여러 당사자들에 대해 보다 공평함.</w:t>
      </w:r>
    </w:p>
    <w:p w:rsidR="00E410B4" w:rsidRPr="0060067F" w:rsidRDefault="008925B5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E4261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 발틱해 건화물 운임지수(BDI)는 0.28% 상승한 720포인트를 기록하였고 </w:t>
      </w:r>
      <w:r w:rsidRPr="00E42613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주간 5.42% 상승하였음.</w:t>
      </w:r>
    </w:p>
    <w:p w:rsidR="00DF307D" w:rsidRPr="00C05EEE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B76557" w:rsidRPr="00A67CEC" w:rsidRDefault="008925B5" w:rsidP="00EC7EE3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E4261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위안화(</w:t>
      </w:r>
      <w:r w:rsidRPr="00E42613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E4261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 w:rsidRPr="00E42613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0.23% 하락한</w:t>
      </w:r>
      <w:r w:rsidRPr="00E4261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6.6688에 거래를 마감하였으며 </w:t>
      </w:r>
      <w:r w:rsidRPr="00E4261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주간 0.28% 하락하였음. </w:t>
      </w:r>
      <w:r w:rsidRPr="00E42613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 6.6488을 기록하였고</w:t>
      </w:r>
      <w:r w:rsidRPr="00E4261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주간 0.42% 하락하였음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DF307D" w:rsidRPr="002778B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8925B5" w:rsidRPr="008925B5" w:rsidRDefault="008925B5" w:rsidP="008925B5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</w:pPr>
      <w:r w:rsidRPr="008925B5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8925B5" w:rsidRPr="008925B5" w:rsidRDefault="008925B5" w:rsidP="008925B5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hint="eastAsia"/>
          <w:b/>
          <w:bCs/>
          <w:color w:val="00B050"/>
          <w:lang w:eastAsia="ko-KR"/>
        </w:rPr>
      </w:pPr>
      <w:r w:rsidRPr="00E42613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다우지수는 0.29% 하락한 18,395.4를 기록하였고</w:t>
      </w:r>
      <w:r w:rsidRPr="00E42613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E42613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주간 0.85% 하락하였음. </w:t>
      </w:r>
      <w:r w:rsidRPr="00E42613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 0.16% 하락한 2,169.04를 기록하였고</w:t>
      </w:r>
      <w:r w:rsidRPr="00E42613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E42613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주간 0.66% 하락하였음. </w:t>
      </w:r>
      <w:r w:rsidRPr="00E42613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 0.13% 상승한 5,218.92를 기록하였고</w:t>
      </w:r>
      <w:r w:rsidRPr="00E42613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 0.37% 하락하였음.</w:t>
      </w:r>
    </w:p>
    <w:p w:rsidR="008925B5" w:rsidRPr="008925B5" w:rsidRDefault="008925B5" w:rsidP="008925B5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 w:hint="eastAsia"/>
          <w:color w:val="00B050"/>
          <w:lang w:eastAsia="ko-KR"/>
        </w:rPr>
      </w:pPr>
    </w:p>
    <w:p w:rsidR="00E410B4" w:rsidRPr="0060067F" w:rsidRDefault="00EC7EE3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A67CEC" w:rsidRPr="00A67CEC" w:rsidRDefault="008925B5" w:rsidP="008925B5">
      <w:pPr>
        <w:pStyle w:val="a5"/>
        <w:numPr>
          <w:ilvl w:val="0"/>
          <w:numId w:val="1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E42613">
        <w:rPr>
          <w:rFonts w:ascii="Gulim" w:eastAsia="Gulim" w:hAnsi="Gulim" w:hint="eastAsia"/>
          <w:b/>
          <w:bCs/>
          <w:color w:val="0F243E" w:themeColor="text2" w:themeShade="80"/>
          <w:sz w:val="21"/>
          <w:szCs w:val="21"/>
          <w:lang w:eastAsia="ko-KR"/>
        </w:rPr>
        <w:t>지난</w:t>
      </w:r>
      <w:r w:rsidRPr="00E42613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주 금요일, 미국 서부텍사스산 원유(WTI)의 10월 선물 가격은 0.7% 상승한 </w:t>
      </w:r>
      <w:r w:rsidRPr="00E42613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 47.64달러를 기록하였</w:t>
      </w:r>
      <w:r w:rsidRPr="00E4261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음.</w:t>
      </w:r>
      <w:r w:rsidRPr="00E42613">
        <w:rPr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E42613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ICE 브런트 원유의 10월 선물 가격은 0.5% 상승한 </w:t>
      </w:r>
      <w:r w:rsidRPr="00E42613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 49.92달러를 기록하였고</w:t>
      </w:r>
      <w:r w:rsidRPr="00E4261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1.89% 하락하였음.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골드만삭스는 </w:t>
      </w:r>
      <w:r w:rsidRPr="00BF6F8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OPEC가 석유 생산량 동결에 합의를 보더라도 석유 시장을 구할 수 없으며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,</w:t>
      </w:r>
      <w:r w:rsidRPr="00BF6F8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내년 여름 전까지 석유 가격은 여전히 배럴당 45-50달러를 유지할 </w:t>
      </w:r>
      <w:r w:rsidR="00234CF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것이고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석유 가격과 펀더멘털 회복이 여전히 부진할 것이라고 재차 표명함.</w:t>
      </w:r>
    </w:p>
    <w:sectPr w:rsidR="00A67CEC" w:rsidRPr="00A67CEC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F8" w:rsidRDefault="00C201F8" w:rsidP="00A57CDD">
      <w:r>
        <w:separator/>
      </w:r>
    </w:p>
  </w:endnote>
  <w:endnote w:type="continuationSeparator" w:id="1">
    <w:p w:rsidR="00C201F8" w:rsidRDefault="00C201F8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F8" w:rsidRDefault="00C201F8" w:rsidP="00A57CDD">
      <w:r>
        <w:separator/>
      </w:r>
    </w:p>
  </w:footnote>
  <w:footnote w:type="continuationSeparator" w:id="1">
    <w:p w:rsidR="00C201F8" w:rsidRDefault="00C201F8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E6CA764A"/>
    <w:lvl w:ilvl="0" w:tplc="647EB464">
      <w:start w:val="1"/>
      <w:numFmt w:val="decimal"/>
      <w:lvlText w:val="4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79B716D"/>
    <w:multiLevelType w:val="hybridMultilevel"/>
    <w:tmpl w:val="01660A9A"/>
    <w:lvl w:ilvl="0" w:tplc="4ECC6C62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07C8B"/>
    <w:rsid w:val="0001250D"/>
    <w:rsid w:val="00017396"/>
    <w:rsid w:val="00017D0A"/>
    <w:rsid w:val="0002086B"/>
    <w:rsid w:val="0002388F"/>
    <w:rsid w:val="00026883"/>
    <w:rsid w:val="00027C14"/>
    <w:rsid w:val="00030144"/>
    <w:rsid w:val="00031A5A"/>
    <w:rsid w:val="00034783"/>
    <w:rsid w:val="00036F97"/>
    <w:rsid w:val="0004651E"/>
    <w:rsid w:val="00052875"/>
    <w:rsid w:val="0006026C"/>
    <w:rsid w:val="00062CBF"/>
    <w:rsid w:val="00063F4E"/>
    <w:rsid w:val="00064E6E"/>
    <w:rsid w:val="000733DF"/>
    <w:rsid w:val="00077CB6"/>
    <w:rsid w:val="00082217"/>
    <w:rsid w:val="00087D40"/>
    <w:rsid w:val="00091BEC"/>
    <w:rsid w:val="000960FB"/>
    <w:rsid w:val="000A49F4"/>
    <w:rsid w:val="000B1932"/>
    <w:rsid w:val="000B1BEF"/>
    <w:rsid w:val="000C023F"/>
    <w:rsid w:val="000C26E1"/>
    <w:rsid w:val="000C3191"/>
    <w:rsid w:val="000C6197"/>
    <w:rsid w:val="000D2018"/>
    <w:rsid w:val="000D71A5"/>
    <w:rsid w:val="000E1CAA"/>
    <w:rsid w:val="000E3BA3"/>
    <w:rsid w:val="000E5097"/>
    <w:rsid w:val="000E57B4"/>
    <w:rsid w:val="000F7077"/>
    <w:rsid w:val="00105B2A"/>
    <w:rsid w:val="0011038E"/>
    <w:rsid w:val="00111EE7"/>
    <w:rsid w:val="00112BF1"/>
    <w:rsid w:val="001130EF"/>
    <w:rsid w:val="00113A19"/>
    <w:rsid w:val="001225AE"/>
    <w:rsid w:val="0012267C"/>
    <w:rsid w:val="00122E38"/>
    <w:rsid w:val="0013271B"/>
    <w:rsid w:val="00133687"/>
    <w:rsid w:val="001341F9"/>
    <w:rsid w:val="001358CB"/>
    <w:rsid w:val="00136BBC"/>
    <w:rsid w:val="00141C28"/>
    <w:rsid w:val="0014320B"/>
    <w:rsid w:val="00145CC9"/>
    <w:rsid w:val="00146DC4"/>
    <w:rsid w:val="0015084D"/>
    <w:rsid w:val="00154FCF"/>
    <w:rsid w:val="001578A9"/>
    <w:rsid w:val="00157F25"/>
    <w:rsid w:val="0016252A"/>
    <w:rsid w:val="001639E2"/>
    <w:rsid w:val="00166547"/>
    <w:rsid w:val="001763BC"/>
    <w:rsid w:val="0018152E"/>
    <w:rsid w:val="00187029"/>
    <w:rsid w:val="00187127"/>
    <w:rsid w:val="00187E7D"/>
    <w:rsid w:val="00196860"/>
    <w:rsid w:val="001A1A9C"/>
    <w:rsid w:val="001A2F58"/>
    <w:rsid w:val="001A64FA"/>
    <w:rsid w:val="001B1167"/>
    <w:rsid w:val="001B3D84"/>
    <w:rsid w:val="001B46BD"/>
    <w:rsid w:val="001B79BB"/>
    <w:rsid w:val="001C31B0"/>
    <w:rsid w:val="001D1E46"/>
    <w:rsid w:val="001D2226"/>
    <w:rsid w:val="001D247B"/>
    <w:rsid w:val="001D37DC"/>
    <w:rsid w:val="001D4142"/>
    <w:rsid w:val="001D496C"/>
    <w:rsid w:val="001E137A"/>
    <w:rsid w:val="001E3790"/>
    <w:rsid w:val="001E3C7C"/>
    <w:rsid w:val="001E50B2"/>
    <w:rsid w:val="001F07E4"/>
    <w:rsid w:val="001F0DE8"/>
    <w:rsid w:val="001F1802"/>
    <w:rsid w:val="001F7BD8"/>
    <w:rsid w:val="00200390"/>
    <w:rsid w:val="002015E6"/>
    <w:rsid w:val="00204ED4"/>
    <w:rsid w:val="00214AC3"/>
    <w:rsid w:val="00224A22"/>
    <w:rsid w:val="00226D77"/>
    <w:rsid w:val="00230440"/>
    <w:rsid w:val="00230DC2"/>
    <w:rsid w:val="00234CFE"/>
    <w:rsid w:val="0023566B"/>
    <w:rsid w:val="00236021"/>
    <w:rsid w:val="0024183C"/>
    <w:rsid w:val="0024511F"/>
    <w:rsid w:val="002451CB"/>
    <w:rsid w:val="00250296"/>
    <w:rsid w:val="00251C14"/>
    <w:rsid w:val="002530AA"/>
    <w:rsid w:val="00253AB3"/>
    <w:rsid w:val="00254E07"/>
    <w:rsid w:val="00257FFC"/>
    <w:rsid w:val="00264CA6"/>
    <w:rsid w:val="00265AE1"/>
    <w:rsid w:val="00267D6B"/>
    <w:rsid w:val="002750EA"/>
    <w:rsid w:val="00277708"/>
    <w:rsid w:val="002778BB"/>
    <w:rsid w:val="00284B62"/>
    <w:rsid w:val="00285E70"/>
    <w:rsid w:val="00293CBF"/>
    <w:rsid w:val="00295D7D"/>
    <w:rsid w:val="00296C47"/>
    <w:rsid w:val="00297946"/>
    <w:rsid w:val="002A0148"/>
    <w:rsid w:val="002B2679"/>
    <w:rsid w:val="002C376C"/>
    <w:rsid w:val="002D0779"/>
    <w:rsid w:val="002D106F"/>
    <w:rsid w:val="002D1CBD"/>
    <w:rsid w:val="002D50EB"/>
    <w:rsid w:val="002E7998"/>
    <w:rsid w:val="002F089E"/>
    <w:rsid w:val="002F3084"/>
    <w:rsid w:val="002F50D2"/>
    <w:rsid w:val="002F558D"/>
    <w:rsid w:val="0030068E"/>
    <w:rsid w:val="00312A37"/>
    <w:rsid w:val="00314A65"/>
    <w:rsid w:val="00317D41"/>
    <w:rsid w:val="00320803"/>
    <w:rsid w:val="00322688"/>
    <w:rsid w:val="00326F2E"/>
    <w:rsid w:val="003313FC"/>
    <w:rsid w:val="00331625"/>
    <w:rsid w:val="00333AB8"/>
    <w:rsid w:val="00334C0E"/>
    <w:rsid w:val="003357D2"/>
    <w:rsid w:val="00336088"/>
    <w:rsid w:val="0035368F"/>
    <w:rsid w:val="00354766"/>
    <w:rsid w:val="003560FC"/>
    <w:rsid w:val="00357867"/>
    <w:rsid w:val="00366211"/>
    <w:rsid w:val="00366A28"/>
    <w:rsid w:val="00373404"/>
    <w:rsid w:val="00385EE4"/>
    <w:rsid w:val="003900D1"/>
    <w:rsid w:val="003933BE"/>
    <w:rsid w:val="003946BC"/>
    <w:rsid w:val="00396379"/>
    <w:rsid w:val="003A2A0D"/>
    <w:rsid w:val="003A3EC9"/>
    <w:rsid w:val="003A549C"/>
    <w:rsid w:val="003A6F7F"/>
    <w:rsid w:val="003A7D68"/>
    <w:rsid w:val="003B1610"/>
    <w:rsid w:val="003B1F13"/>
    <w:rsid w:val="003B42DF"/>
    <w:rsid w:val="003C04F3"/>
    <w:rsid w:val="003C1665"/>
    <w:rsid w:val="003C7408"/>
    <w:rsid w:val="003D119A"/>
    <w:rsid w:val="003D20B9"/>
    <w:rsid w:val="003D3175"/>
    <w:rsid w:val="003D5276"/>
    <w:rsid w:val="003D5846"/>
    <w:rsid w:val="003D646F"/>
    <w:rsid w:val="003E2768"/>
    <w:rsid w:val="003E33EC"/>
    <w:rsid w:val="003E728A"/>
    <w:rsid w:val="003F20AB"/>
    <w:rsid w:val="00401DE6"/>
    <w:rsid w:val="00406808"/>
    <w:rsid w:val="004103BA"/>
    <w:rsid w:val="0041104F"/>
    <w:rsid w:val="004219A9"/>
    <w:rsid w:val="00431DCF"/>
    <w:rsid w:val="004460EF"/>
    <w:rsid w:val="0045385D"/>
    <w:rsid w:val="00454B6C"/>
    <w:rsid w:val="00454F47"/>
    <w:rsid w:val="00457BE7"/>
    <w:rsid w:val="00460D7C"/>
    <w:rsid w:val="00462AC7"/>
    <w:rsid w:val="00475382"/>
    <w:rsid w:val="00476EE1"/>
    <w:rsid w:val="00485E16"/>
    <w:rsid w:val="00491D1E"/>
    <w:rsid w:val="0049715E"/>
    <w:rsid w:val="004A44C5"/>
    <w:rsid w:val="004B63CE"/>
    <w:rsid w:val="004B7650"/>
    <w:rsid w:val="004C1CC6"/>
    <w:rsid w:val="004C23EB"/>
    <w:rsid w:val="004C67EB"/>
    <w:rsid w:val="004D0DB5"/>
    <w:rsid w:val="004E28C5"/>
    <w:rsid w:val="004E3A1B"/>
    <w:rsid w:val="004E5F30"/>
    <w:rsid w:val="004E6549"/>
    <w:rsid w:val="004E6E5C"/>
    <w:rsid w:val="004F03E7"/>
    <w:rsid w:val="004F5F35"/>
    <w:rsid w:val="00503962"/>
    <w:rsid w:val="0050415D"/>
    <w:rsid w:val="00504577"/>
    <w:rsid w:val="00504A54"/>
    <w:rsid w:val="0050626F"/>
    <w:rsid w:val="005101CE"/>
    <w:rsid w:val="0051232B"/>
    <w:rsid w:val="00515109"/>
    <w:rsid w:val="0051625B"/>
    <w:rsid w:val="005165D0"/>
    <w:rsid w:val="00516791"/>
    <w:rsid w:val="00517475"/>
    <w:rsid w:val="00517E1E"/>
    <w:rsid w:val="00526D02"/>
    <w:rsid w:val="00531E8F"/>
    <w:rsid w:val="005329E8"/>
    <w:rsid w:val="0053303C"/>
    <w:rsid w:val="00537539"/>
    <w:rsid w:val="0054108E"/>
    <w:rsid w:val="00541FD7"/>
    <w:rsid w:val="00542755"/>
    <w:rsid w:val="00542CE0"/>
    <w:rsid w:val="00550412"/>
    <w:rsid w:val="005511C2"/>
    <w:rsid w:val="00551527"/>
    <w:rsid w:val="00552341"/>
    <w:rsid w:val="005549CC"/>
    <w:rsid w:val="005556FD"/>
    <w:rsid w:val="00564F8C"/>
    <w:rsid w:val="00573CBB"/>
    <w:rsid w:val="00576187"/>
    <w:rsid w:val="00577690"/>
    <w:rsid w:val="005843F3"/>
    <w:rsid w:val="00594591"/>
    <w:rsid w:val="00595D42"/>
    <w:rsid w:val="00596F85"/>
    <w:rsid w:val="0059726F"/>
    <w:rsid w:val="005A09B7"/>
    <w:rsid w:val="005A178F"/>
    <w:rsid w:val="005A7C16"/>
    <w:rsid w:val="005B4C71"/>
    <w:rsid w:val="005D1E16"/>
    <w:rsid w:val="005E4DEC"/>
    <w:rsid w:val="005E7563"/>
    <w:rsid w:val="006001C5"/>
    <w:rsid w:val="0060067F"/>
    <w:rsid w:val="00612527"/>
    <w:rsid w:val="0061420A"/>
    <w:rsid w:val="00614B2E"/>
    <w:rsid w:val="00616326"/>
    <w:rsid w:val="006167B7"/>
    <w:rsid w:val="00617140"/>
    <w:rsid w:val="00617497"/>
    <w:rsid w:val="00621782"/>
    <w:rsid w:val="006251AF"/>
    <w:rsid w:val="006328D4"/>
    <w:rsid w:val="006422D9"/>
    <w:rsid w:val="00642EB0"/>
    <w:rsid w:val="00645830"/>
    <w:rsid w:val="00645A6E"/>
    <w:rsid w:val="00647DFB"/>
    <w:rsid w:val="006511CF"/>
    <w:rsid w:val="0065381B"/>
    <w:rsid w:val="006547D1"/>
    <w:rsid w:val="00656300"/>
    <w:rsid w:val="006646EA"/>
    <w:rsid w:val="006721D8"/>
    <w:rsid w:val="00680C80"/>
    <w:rsid w:val="00682EE6"/>
    <w:rsid w:val="00686F70"/>
    <w:rsid w:val="00691BE7"/>
    <w:rsid w:val="00692FB5"/>
    <w:rsid w:val="00694269"/>
    <w:rsid w:val="006A09CD"/>
    <w:rsid w:val="006A3022"/>
    <w:rsid w:val="006A3CCC"/>
    <w:rsid w:val="006A606C"/>
    <w:rsid w:val="006A7FE5"/>
    <w:rsid w:val="006B0F23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6F6D37"/>
    <w:rsid w:val="006F7BEF"/>
    <w:rsid w:val="00702C6A"/>
    <w:rsid w:val="00710884"/>
    <w:rsid w:val="0071285B"/>
    <w:rsid w:val="0071618E"/>
    <w:rsid w:val="00716B56"/>
    <w:rsid w:val="00717CEB"/>
    <w:rsid w:val="007251EE"/>
    <w:rsid w:val="007367F8"/>
    <w:rsid w:val="00751110"/>
    <w:rsid w:val="00751E4C"/>
    <w:rsid w:val="0075362E"/>
    <w:rsid w:val="007620C0"/>
    <w:rsid w:val="00766B69"/>
    <w:rsid w:val="00766DAF"/>
    <w:rsid w:val="007670A4"/>
    <w:rsid w:val="00773234"/>
    <w:rsid w:val="00783957"/>
    <w:rsid w:val="00783A63"/>
    <w:rsid w:val="007869C2"/>
    <w:rsid w:val="00793EAA"/>
    <w:rsid w:val="007952B3"/>
    <w:rsid w:val="00796BF8"/>
    <w:rsid w:val="00796E6C"/>
    <w:rsid w:val="007A2903"/>
    <w:rsid w:val="007A344E"/>
    <w:rsid w:val="007B4372"/>
    <w:rsid w:val="007B611E"/>
    <w:rsid w:val="007C0B45"/>
    <w:rsid w:val="007C3E7E"/>
    <w:rsid w:val="007C548E"/>
    <w:rsid w:val="007D107D"/>
    <w:rsid w:val="007D206F"/>
    <w:rsid w:val="007D3F97"/>
    <w:rsid w:val="007E0C1C"/>
    <w:rsid w:val="007E36F1"/>
    <w:rsid w:val="007E64D5"/>
    <w:rsid w:val="007F1745"/>
    <w:rsid w:val="007F58FB"/>
    <w:rsid w:val="007F7E54"/>
    <w:rsid w:val="00804893"/>
    <w:rsid w:val="008111BF"/>
    <w:rsid w:val="008115B0"/>
    <w:rsid w:val="00812C9A"/>
    <w:rsid w:val="00814021"/>
    <w:rsid w:val="00816DBE"/>
    <w:rsid w:val="008201B0"/>
    <w:rsid w:val="008208E9"/>
    <w:rsid w:val="0082178E"/>
    <w:rsid w:val="00826B21"/>
    <w:rsid w:val="00831CAB"/>
    <w:rsid w:val="00832313"/>
    <w:rsid w:val="00835865"/>
    <w:rsid w:val="00840994"/>
    <w:rsid w:val="008510D2"/>
    <w:rsid w:val="008525EC"/>
    <w:rsid w:val="00852986"/>
    <w:rsid w:val="00854098"/>
    <w:rsid w:val="008556DE"/>
    <w:rsid w:val="00865940"/>
    <w:rsid w:val="008754B6"/>
    <w:rsid w:val="0087576B"/>
    <w:rsid w:val="00887218"/>
    <w:rsid w:val="008873AF"/>
    <w:rsid w:val="008925B5"/>
    <w:rsid w:val="008A0DB9"/>
    <w:rsid w:val="008A3DE5"/>
    <w:rsid w:val="008A49DC"/>
    <w:rsid w:val="008B066A"/>
    <w:rsid w:val="008B58F8"/>
    <w:rsid w:val="008B70A8"/>
    <w:rsid w:val="008C3F64"/>
    <w:rsid w:val="008D3312"/>
    <w:rsid w:val="008E2A5C"/>
    <w:rsid w:val="008F5090"/>
    <w:rsid w:val="00903CCF"/>
    <w:rsid w:val="00906DC5"/>
    <w:rsid w:val="009123EF"/>
    <w:rsid w:val="00912956"/>
    <w:rsid w:val="00916C90"/>
    <w:rsid w:val="00921428"/>
    <w:rsid w:val="00927D5C"/>
    <w:rsid w:val="00933F49"/>
    <w:rsid w:val="00946708"/>
    <w:rsid w:val="0095182D"/>
    <w:rsid w:val="0095443F"/>
    <w:rsid w:val="009554F2"/>
    <w:rsid w:val="00957773"/>
    <w:rsid w:val="00961318"/>
    <w:rsid w:val="0096543C"/>
    <w:rsid w:val="00966045"/>
    <w:rsid w:val="00967D9D"/>
    <w:rsid w:val="00974A2D"/>
    <w:rsid w:val="00980E60"/>
    <w:rsid w:val="00982A58"/>
    <w:rsid w:val="00985213"/>
    <w:rsid w:val="00985947"/>
    <w:rsid w:val="009951AB"/>
    <w:rsid w:val="009A159C"/>
    <w:rsid w:val="009A56D0"/>
    <w:rsid w:val="009B3048"/>
    <w:rsid w:val="009B36F7"/>
    <w:rsid w:val="009B4585"/>
    <w:rsid w:val="009D095F"/>
    <w:rsid w:val="009D1E48"/>
    <w:rsid w:val="009D2323"/>
    <w:rsid w:val="009D3989"/>
    <w:rsid w:val="009D6C61"/>
    <w:rsid w:val="009F26B8"/>
    <w:rsid w:val="009F2FB3"/>
    <w:rsid w:val="009F4B54"/>
    <w:rsid w:val="00A02F47"/>
    <w:rsid w:val="00A0544C"/>
    <w:rsid w:val="00A05A14"/>
    <w:rsid w:val="00A0752F"/>
    <w:rsid w:val="00A10144"/>
    <w:rsid w:val="00A2475C"/>
    <w:rsid w:val="00A24EDA"/>
    <w:rsid w:val="00A25EC6"/>
    <w:rsid w:val="00A267B2"/>
    <w:rsid w:val="00A313BE"/>
    <w:rsid w:val="00A32188"/>
    <w:rsid w:val="00A368A1"/>
    <w:rsid w:val="00A46A4D"/>
    <w:rsid w:val="00A4735B"/>
    <w:rsid w:val="00A5155F"/>
    <w:rsid w:val="00A56955"/>
    <w:rsid w:val="00A57873"/>
    <w:rsid w:val="00A57CDD"/>
    <w:rsid w:val="00A60D80"/>
    <w:rsid w:val="00A67788"/>
    <w:rsid w:val="00A67CEC"/>
    <w:rsid w:val="00A73F1E"/>
    <w:rsid w:val="00A83FA8"/>
    <w:rsid w:val="00A847D5"/>
    <w:rsid w:val="00A871E7"/>
    <w:rsid w:val="00A952CE"/>
    <w:rsid w:val="00A95BBD"/>
    <w:rsid w:val="00A96F2E"/>
    <w:rsid w:val="00AA02AB"/>
    <w:rsid w:val="00AA1D19"/>
    <w:rsid w:val="00AA3162"/>
    <w:rsid w:val="00AB0AFD"/>
    <w:rsid w:val="00AC3E91"/>
    <w:rsid w:val="00AD3283"/>
    <w:rsid w:val="00AD6379"/>
    <w:rsid w:val="00AD6A25"/>
    <w:rsid w:val="00AE0872"/>
    <w:rsid w:val="00AE0E9D"/>
    <w:rsid w:val="00AE71E3"/>
    <w:rsid w:val="00AF0AD2"/>
    <w:rsid w:val="00AF2222"/>
    <w:rsid w:val="00AF3D88"/>
    <w:rsid w:val="00B03A91"/>
    <w:rsid w:val="00B06E8F"/>
    <w:rsid w:val="00B1315C"/>
    <w:rsid w:val="00B172CD"/>
    <w:rsid w:val="00B316B9"/>
    <w:rsid w:val="00B32EFA"/>
    <w:rsid w:val="00B334EF"/>
    <w:rsid w:val="00B3393F"/>
    <w:rsid w:val="00B3413D"/>
    <w:rsid w:val="00B3677C"/>
    <w:rsid w:val="00B374B1"/>
    <w:rsid w:val="00B46295"/>
    <w:rsid w:val="00B51CA4"/>
    <w:rsid w:val="00B51F4F"/>
    <w:rsid w:val="00B53905"/>
    <w:rsid w:val="00B54584"/>
    <w:rsid w:val="00B55371"/>
    <w:rsid w:val="00B71F12"/>
    <w:rsid w:val="00B74883"/>
    <w:rsid w:val="00B758AE"/>
    <w:rsid w:val="00B76557"/>
    <w:rsid w:val="00B76685"/>
    <w:rsid w:val="00B80853"/>
    <w:rsid w:val="00B83112"/>
    <w:rsid w:val="00B86D48"/>
    <w:rsid w:val="00B94A48"/>
    <w:rsid w:val="00BA5B5C"/>
    <w:rsid w:val="00BA78A3"/>
    <w:rsid w:val="00BA7E78"/>
    <w:rsid w:val="00BB49E9"/>
    <w:rsid w:val="00BB7930"/>
    <w:rsid w:val="00BC09BB"/>
    <w:rsid w:val="00BC1AE5"/>
    <w:rsid w:val="00BC1B09"/>
    <w:rsid w:val="00BD158D"/>
    <w:rsid w:val="00BD445A"/>
    <w:rsid w:val="00BD77B8"/>
    <w:rsid w:val="00BE2DB2"/>
    <w:rsid w:val="00BE63F9"/>
    <w:rsid w:val="00BE6EDB"/>
    <w:rsid w:val="00BF1E9F"/>
    <w:rsid w:val="00BF66AC"/>
    <w:rsid w:val="00BF6A3A"/>
    <w:rsid w:val="00C009D7"/>
    <w:rsid w:val="00C05EEE"/>
    <w:rsid w:val="00C07D18"/>
    <w:rsid w:val="00C117B0"/>
    <w:rsid w:val="00C14139"/>
    <w:rsid w:val="00C165F1"/>
    <w:rsid w:val="00C201F8"/>
    <w:rsid w:val="00C208DC"/>
    <w:rsid w:val="00C22DCA"/>
    <w:rsid w:val="00C26738"/>
    <w:rsid w:val="00C27B01"/>
    <w:rsid w:val="00C30946"/>
    <w:rsid w:val="00C31433"/>
    <w:rsid w:val="00C346E3"/>
    <w:rsid w:val="00C356F2"/>
    <w:rsid w:val="00C359AF"/>
    <w:rsid w:val="00C416FB"/>
    <w:rsid w:val="00C43E35"/>
    <w:rsid w:val="00C44FBF"/>
    <w:rsid w:val="00C50321"/>
    <w:rsid w:val="00C50BF2"/>
    <w:rsid w:val="00C57D41"/>
    <w:rsid w:val="00C619F2"/>
    <w:rsid w:val="00C71746"/>
    <w:rsid w:val="00C71FF2"/>
    <w:rsid w:val="00C73162"/>
    <w:rsid w:val="00C84E1C"/>
    <w:rsid w:val="00C867B1"/>
    <w:rsid w:val="00C9024F"/>
    <w:rsid w:val="00C92635"/>
    <w:rsid w:val="00CA050F"/>
    <w:rsid w:val="00CA37DC"/>
    <w:rsid w:val="00CA761F"/>
    <w:rsid w:val="00CB3FC8"/>
    <w:rsid w:val="00CB57A6"/>
    <w:rsid w:val="00CB63D4"/>
    <w:rsid w:val="00CB780A"/>
    <w:rsid w:val="00CC135A"/>
    <w:rsid w:val="00CC2E3D"/>
    <w:rsid w:val="00CD4344"/>
    <w:rsid w:val="00CE5F8C"/>
    <w:rsid w:val="00CE7F00"/>
    <w:rsid w:val="00CF1DB1"/>
    <w:rsid w:val="00D00E48"/>
    <w:rsid w:val="00D067D6"/>
    <w:rsid w:val="00D06A6F"/>
    <w:rsid w:val="00D071FD"/>
    <w:rsid w:val="00D07C7E"/>
    <w:rsid w:val="00D20AF2"/>
    <w:rsid w:val="00D319A0"/>
    <w:rsid w:val="00D328A0"/>
    <w:rsid w:val="00D4073D"/>
    <w:rsid w:val="00D46BC5"/>
    <w:rsid w:val="00D55B5F"/>
    <w:rsid w:val="00D57298"/>
    <w:rsid w:val="00D6432C"/>
    <w:rsid w:val="00D65A04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C06DC"/>
    <w:rsid w:val="00DC1FA9"/>
    <w:rsid w:val="00DC40BC"/>
    <w:rsid w:val="00DC5319"/>
    <w:rsid w:val="00DD72B2"/>
    <w:rsid w:val="00DF219B"/>
    <w:rsid w:val="00DF307D"/>
    <w:rsid w:val="00DF39C7"/>
    <w:rsid w:val="00DF451D"/>
    <w:rsid w:val="00E01874"/>
    <w:rsid w:val="00E0187E"/>
    <w:rsid w:val="00E119B8"/>
    <w:rsid w:val="00E14CF7"/>
    <w:rsid w:val="00E165B7"/>
    <w:rsid w:val="00E1782F"/>
    <w:rsid w:val="00E21F80"/>
    <w:rsid w:val="00E2306B"/>
    <w:rsid w:val="00E2526D"/>
    <w:rsid w:val="00E259D3"/>
    <w:rsid w:val="00E268A5"/>
    <w:rsid w:val="00E304E4"/>
    <w:rsid w:val="00E40A2D"/>
    <w:rsid w:val="00E410B4"/>
    <w:rsid w:val="00E4385B"/>
    <w:rsid w:val="00E5009D"/>
    <w:rsid w:val="00E55218"/>
    <w:rsid w:val="00E578AD"/>
    <w:rsid w:val="00E57A11"/>
    <w:rsid w:val="00E63BB6"/>
    <w:rsid w:val="00E63C6F"/>
    <w:rsid w:val="00E7093E"/>
    <w:rsid w:val="00E74C4C"/>
    <w:rsid w:val="00E77A78"/>
    <w:rsid w:val="00E85835"/>
    <w:rsid w:val="00E90B21"/>
    <w:rsid w:val="00E91A6B"/>
    <w:rsid w:val="00E96151"/>
    <w:rsid w:val="00E9760D"/>
    <w:rsid w:val="00EA3D61"/>
    <w:rsid w:val="00EA5548"/>
    <w:rsid w:val="00EB0BEC"/>
    <w:rsid w:val="00EB366A"/>
    <w:rsid w:val="00EB3B51"/>
    <w:rsid w:val="00EC7EE3"/>
    <w:rsid w:val="00ED21F1"/>
    <w:rsid w:val="00EE1789"/>
    <w:rsid w:val="00EE374D"/>
    <w:rsid w:val="00EE3E23"/>
    <w:rsid w:val="00EE3EDB"/>
    <w:rsid w:val="00EE66F6"/>
    <w:rsid w:val="00F0147C"/>
    <w:rsid w:val="00F03D97"/>
    <w:rsid w:val="00F04789"/>
    <w:rsid w:val="00F12B4B"/>
    <w:rsid w:val="00F200D9"/>
    <w:rsid w:val="00F20B45"/>
    <w:rsid w:val="00F22769"/>
    <w:rsid w:val="00F30182"/>
    <w:rsid w:val="00F373A0"/>
    <w:rsid w:val="00F44012"/>
    <w:rsid w:val="00F454DD"/>
    <w:rsid w:val="00F54575"/>
    <w:rsid w:val="00F66EF1"/>
    <w:rsid w:val="00F75581"/>
    <w:rsid w:val="00F82F6E"/>
    <w:rsid w:val="00F847FA"/>
    <w:rsid w:val="00F95BC9"/>
    <w:rsid w:val="00FA1B70"/>
    <w:rsid w:val="00FA1BE3"/>
    <w:rsid w:val="00FA211E"/>
    <w:rsid w:val="00FA2BD7"/>
    <w:rsid w:val="00FD1E1E"/>
    <w:rsid w:val="00FD6892"/>
    <w:rsid w:val="00FD7FAE"/>
    <w:rsid w:val="00FE4AFD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4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234</cp:revision>
  <dcterms:created xsi:type="dcterms:W3CDTF">2016-05-30T05:19:00Z</dcterms:created>
  <dcterms:modified xsi:type="dcterms:W3CDTF">2016-08-29T05:56:00Z</dcterms:modified>
</cp:coreProperties>
</file>