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84" w:rsidRPr="00E83548" w:rsidRDefault="00E83548" w:rsidP="00E83548">
      <w:pPr>
        <w:snapToGrid w:val="0"/>
        <w:spacing w:line="360" w:lineRule="auto"/>
        <w:jc w:val="center"/>
        <w:rPr>
          <w:rFonts w:ascii="微软雅黑" w:eastAsia="微软雅黑" w:hAnsi="微软雅黑" w:hint="eastAsia"/>
          <w:sz w:val="40"/>
          <w:szCs w:val="40"/>
        </w:rPr>
      </w:pPr>
      <w:r w:rsidRPr="00E83548">
        <w:rPr>
          <w:rFonts w:ascii="微软雅黑" w:eastAsia="微软雅黑" w:hAnsi="微软雅黑" w:hint="eastAsia"/>
          <w:sz w:val="40"/>
          <w:szCs w:val="40"/>
        </w:rPr>
        <w:t>【财经早餐】2016.08.15星期一</w:t>
      </w:r>
    </w:p>
    <w:p w:rsidR="00E83548" w:rsidRPr="00E83548" w:rsidRDefault="00E83548" w:rsidP="00E83548">
      <w:pPr>
        <w:snapToGrid w:val="0"/>
        <w:spacing w:line="360" w:lineRule="auto"/>
        <w:rPr>
          <w:rFonts w:ascii="微软雅黑" w:eastAsia="微软雅黑" w:hAnsi="微软雅黑" w:hint="eastAsia"/>
          <w:szCs w:val="21"/>
        </w:rPr>
      </w:pP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color w:val="3E3E3E"/>
          <w:sz w:val="21"/>
          <w:szCs w:val="21"/>
        </w:rPr>
      </w:pPr>
      <w:r w:rsidRPr="00C7631D">
        <w:rPr>
          <w:rStyle w:val="a4"/>
          <w:rFonts w:ascii="微软雅黑" w:eastAsia="微软雅黑" w:hAnsi="微软雅黑" w:hint="eastAsia"/>
          <w:color w:val="00B050"/>
          <w:sz w:val="21"/>
          <w:szCs w:val="21"/>
        </w:rPr>
        <w:t>一、宏观、数据</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2060"/>
          <w:sz w:val="21"/>
          <w:szCs w:val="21"/>
        </w:rPr>
        <w:t>1、央行：</w:t>
      </w:r>
      <w:r w:rsidRPr="00C7631D">
        <w:rPr>
          <w:rStyle w:val="a4"/>
          <w:rFonts w:ascii="微软雅黑" w:eastAsia="微软雅黑" w:hAnsi="微软雅黑" w:hint="eastAsia"/>
          <w:color w:val="C00000"/>
          <w:sz w:val="21"/>
          <w:szCs w:val="21"/>
          <w:shd w:val="clear" w:color="auto" w:fill="FFFFFF"/>
        </w:rPr>
        <w:t>7月末，人民币外汇占款23.44</w:t>
      </w:r>
      <w:proofErr w:type="gramStart"/>
      <w:r w:rsidRPr="00C7631D">
        <w:rPr>
          <w:rStyle w:val="a4"/>
          <w:rFonts w:ascii="微软雅黑" w:eastAsia="微软雅黑" w:hAnsi="微软雅黑" w:hint="eastAsia"/>
          <w:color w:val="C00000"/>
          <w:sz w:val="21"/>
          <w:szCs w:val="21"/>
          <w:shd w:val="clear" w:color="auto" w:fill="FFFFFF"/>
        </w:rPr>
        <w:t>万亿</w:t>
      </w:r>
      <w:proofErr w:type="gramEnd"/>
      <w:r w:rsidRPr="00C7631D">
        <w:rPr>
          <w:rStyle w:val="a4"/>
          <w:rFonts w:ascii="微软雅黑" w:eastAsia="微软雅黑" w:hAnsi="微软雅黑" w:hint="eastAsia"/>
          <w:color w:val="C00000"/>
          <w:sz w:val="21"/>
          <w:szCs w:val="21"/>
          <w:shd w:val="clear" w:color="auto" w:fill="FFFFFF"/>
        </w:rPr>
        <w:t>元，</w:t>
      </w:r>
      <w:r w:rsidRPr="00C7631D">
        <w:rPr>
          <w:rFonts w:ascii="微软雅黑" w:eastAsia="微软雅黑" w:hAnsi="微软雅黑" w:hint="eastAsia"/>
          <w:color w:val="3E3E3E"/>
          <w:sz w:val="21"/>
          <w:szCs w:val="21"/>
        </w:rPr>
        <w:t>环比下降1905.08亿元，连续第九个月下滑。分析称，由于跨国企业结算旺季、海外派发红利乃至暑期旅游等因素，7月份历来是外汇流出比较明显的月份。</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2060"/>
          <w:sz w:val="21"/>
          <w:szCs w:val="21"/>
        </w:rPr>
        <w:t>2、新华网：</w:t>
      </w:r>
      <w:r w:rsidRPr="00C7631D">
        <w:rPr>
          <w:rFonts w:ascii="微软雅黑" w:eastAsia="微软雅黑" w:hAnsi="微软雅黑" w:hint="eastAsia"/>
          <w:color w:val="3E3E3E"/>
          <w:sz w:val="21"/>
          <w:szCs w:val="21"/>
        </w:rPr>
        <w:t>太和智库发布报告认为，</w:t>
      </w:r>
      <w:r w:rsidRPr="00C7631D">
        <w:rPr>
          <w:rStyle w:val="a4"/>
          <w:rFonts w:ascii="微软雅黑" w:eastAsia="微软雅黑" w:hAnsi="微软雅黑" w:hint="eastAsia"/>
          <w:color w:val="C00000"/>
          <w:sz w:val="21"/>
          <w:szCs w:val="21"/>
          <w:shd w:val="clear" w:color="auto" w:fill="FFFFFF"/>
        </w:rPr>
        <w:t>国内货币政策将转入实质性稳健的状态。</w:t>
      </w:r>
      <w:r w:rsidRPr="00C7631D">
        <w:rPr>
          <w:rFonts w:ascii="微软雅黑" w:eastAsia="微软雅黑" w:hAnsi="微软雅黑" w:hint="eastAsia"/>
          <w:color w:val="3E3E3E"/>
          <w:sz w:val="21"/>
          <w:szCs w:val="21"/>
        </w:rPr>
        <w:t>尽管这种实质性稳健可能对实体经济去产能调结构的过程而言相对“紧”，但考虑到宽松于实体经济无益以及决策层基调的变化，央行将维持利率现状。</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2060"/>
          <w:sz w:val="21"/>
          <w:szCs w:val="21"/>
        </w:rPr>
        <w:t>3、方正证券任泽平：</w:t>
      </w:r>
      <w:r w:rsidRPr="00C7631D">
        <w:rPr>
          <w:rFonts w:ascii="微软雅黑" w:eastAsia="微软雅黑" w:hAnsi="微软雅黑" w:hint="eastAsia"/>
          <w:color w:val="3E3E3E"/>
          <w:sz w:val="21"/>
          <w:szCs w:val="21"/>
        </w:rPr>
        <w:t>在改革取得实质性进展之前，</w:t>
      </w:r>
      <w:r w:rsidRPr="00C7631D">
        <w:rPr>
          <w:rStyle w:val="a4"/>
          <w:rFonts w:ascii="微软雅黑" w:eastAsia="微软雅黑" w:hAnsi="微软雅黑" w:hint="eastAsia"/>
          <w:color w:val="C00000"/>
          <w:sz w:val="21"/>
          <w:szCs w:val="21"/>
          <w:shd w:val="clear" w:color="auto" w:fill="FFFFFF"/>
        </w:rPr>
        <w:t>经济在中期将呈</w:t>
      </w:r>
      <w:proofErr w:type="gramStart"/>
      <w:r w:rsidRPr="00C7631D">
        <w:rPr>
          <w:rStyle w:val="a4"/>
          <w:rFonts w:ascii="微软雅黑" w:eastAsia="微软雅黑" w:hAnsi="微软雅黑" w:hint="eastAsia"/>
          <w:color w:val="C00000"/>
          <w:sz w:val="21"/>
          <w:szCs w:val="21"/>
          <w:shd w:val="clear" w:color="auto" w:fill="FFFFFF"/>
        </w:rPr>
        <w:t>逐级下</w:t>
      </w:r>
      <w:proofErr w:type="gramEnd"/>
      <w:r w:rsidRPr="00C7631D">
        <w:rPr>
          <w:rStyle w:val="a4"/>
          <w:rFonts w:ascii="微软雅黑" w:eastAsia="微软雅黑" w:hAnsi="微软雅黑" w:hint="eastAsia"/>
          <w:color w:val="C00000"/>
          <w:sz w:val="21"/>
          <w:szCs w:val="21"/>
          <w:shd w:val="clear" w:color="auto" w:fill="FFFFFF"/>
        </w:rPr>
        <w:t>台阶的L型走势。</w:t>
      </w:r>
      <w:r w:rsidRPr="00C7631D">
        <w:rPr>
          <w:rFonts w:ascii="微软雅黑" w:eastAsia="微软雅黑" w:hAnsi="微软雅黑" w:hint="eastAsia"/>
          <w:color w:val="3E3E3E"/>
          <w:sz w:val="21"/>
          <w:szCs w:val="21"/>
        </w:rPr>
        <w:t>未来如何应对，公共政策再次走到十字路口，重新放水还是重启改革？货币政策的作用是“拖”，改革的作用是“破和立”。</w:t>
      </w:r>
    </w:p>
    <w:p w:rsidR="00E83548" w:rsidRPr="00C7631D" w:rsidRDefault="00C111A1"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2060"/>
          <w:sz w:val="21"/>
          <w:szCs w:val="21"/>
        </w:rPr>
        <w:t>4</w:t>
      </w:r>
      <w:r w:rsidR="00E83548" w:rsidRPr="00C7631D">
        <w:rPr>
          <w:rStyle w:val="a4"/>
          <w:rFonts w:ascii="微软雅黑" w:eastAsia="微软雅黑" w:hAnsi="微软雅黑" w:hint="eastAsia"/>
          <w:color w:val="002060"/>
          <w:sz w:val="21"/>
          <w:szCs w:val="21"/>
        </w:rPr>
        <w:t>、李稻葵：</w:t>
      </w:r>
      <w:r w:rsidR="00E83548" w:rsidRPr="00C7631D">
        <w:rPr>
          <w:rFonts w:ascii="微软雅黑" w:eastAsia="微软雅黑" w:hAnsi="微软雅黑" w:hint="eastAsia"/>
          <w:color w:val="3E3E3E"/>
          <w:sz w:val="21"/>
          <w:szCs w:val="21"/>
        </w:rPr>
        <w:t>中国消费占GDP的比重被低估了，</w:t>
      </w:r>
      <w:r w:rsidR="00E83548" w:rsidRPr="00C7631D">
        <w:rPr>
          <w:rStyle w:val="a4"/>
          <w:rFonts w:ascii="微软雅黑" w:eastAsia="微软雅黑" w:hAnsi="微软雅黑" w:hint="eastAsia"/>
          <w:color w:val="C00000"/>
          <w:sz w:val="21"/>
          <w:szCs w:val="21"/>
          <w:shd w:val="clear" w:color="auto" w:fill="FFFFFF"/>
        </w:rPr>
        <w:t>预计到“十三五”</w:t>
      </w:r>
      <w:proofErr w:type="gramStart"/>
      <w:r w:rsidR="00E83548" w:rsidRPr="00C7631D">
        <w:rPr>
          <w:rStyle w:val="a4"/>
          <w:rFonts w:ascii="微软雅黑" w:eastAsia="微软雅黑" w:hAnsi="微软雅黑" w:hint="eastAsia"/>
          <w:color w:val="C00000"/>
          <w:sz w:val="21"/>
          <w:szCs w:val="21"/>
          <w:shd w:val="clear" w:color="auto" w:fill="FFFFFF"/>
        </w:rPr>
        <w:t>末消费</w:t>
      </w:r>
      <w:proofErr w:type="gramEnd"/>
      <w:r w:rsidR="00E83548" w:rsidRPr="00C7631D">
        <w:rPr>
          <w:rStyle w:val="a4"/>
          <w:rFonts w:ascii="微软雅黑" w:eastAsia="微软雅黑" w:hAnsi="微软雅黑" w:hint="eastAsia"/>
          <w:color w:val="C00000"/>
          <w:sz w:val="21"/>
          <w:szCs w:val="21"/>
          <w:shd w:val="clear" w:color="auto" w:fill="FFFFFF"/>
        </w:rPr>
        <w:t>占GDP比重将达到50%，</w:t>
      </w:r>
      <w:r w:rsidR="00E83548" w:rsidRPr="00C7631D">
        <w:rPr>
          <w:rFonts w:ascii="微软雅黑" w:eastAsia="微软雅黑" w:hAnsi="微软雅黑" w:hint="eastAsia"/>
          <w:color w:val="3E3E3E"/>
          <w:sz w:val="21"/>
          <w:szCs w:val="21"/>
        </w:rPr>
        <w:t>中国经济将进入消费拉动时代。2016年作为“十三五”开局元年，最困难的时期出现在上半年，到了下半年形势将有所逆转。</w:t>
      </w:r>
    </w:p>
    <w:p w:rsidR="00E83548" w:rsidRPr="00C7631D" w:rsidRDefault="00C111A1"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2060"/>
          <w:sz w:val="21"/>
          <w:szCs w:val="21"/>
        </w:rPr>
        <w:t>5</w:t>
      </w:r>
      <w:r w:rsidR="00E83548" w:rsidRPr="00C7631D">
        <w:rPr>
          <w:rStyle w:val="a4"/>
          <w:rFonts w:ascii="微软雅黑" w:eastAsia="微软雅黑" w:hAnsi="微软雅黑" w:hint="eastAsia"/>
          <w:color w:val="002060"/>
          <w:sz w:val="21"/>
          <w:szCs w:val="21"/>
        </w:rPr>
        <w:t>、</w:t>
      </w:r>
      <w:proofErr w:type="gramStart"/>
      <w:r w:rsidR="00E83548" w:rsidRPr="00C7631D">
        <w:rPr>
          <w:rStyle w:val="a4"/>
          <w:rFonts w:ascii="微软雅黑" w:eastAsia="微软雅黑" w:hAnsi="微软雅黑" w:hint="eastAsia"/>
          <w:color w:val="002060"/>
          <w:sz w:val="21"/>
          <w:szCs w:val="21"/>
        </w:rPr>
        <w:t>一</w:t>
      </w:r>
      <w:proofErr w:type="gramEnd"/>
      <w:r w:rsidR="00E83548" w:rsidRPr="00C7631D">
        <w:rPr>
          <w:rStyle w:val="a4"/>
          <w:rFonts w:ascii="微软雅黑" w:eastAsia="微软雅黑" w:hAnsi="微软雅黑" w:hint="eastAsia"/>
          <w:color w:val="002060"/>
          <w:sz w:val="21"/>
          <w:szCs w:val="21"/>
        </w:rPr>
        <w:t>财：</w:t>
      </w:r>
      <w:r w:rsidR="00E83548" w:rsidRPr="00C7631D">
        <w:rPr>
          <w:rFonts w:ascii="微软雅黑" w:eastAsia="微软雅黑" w:hAnsi="微软雅黑" w:hint="eastAsia"/>
          <w:color w:val="3E3E3E"/>
          <w:sz w:val="21"/>
          <w:szCs w:val="21"/>
        </w:rPr>
        <w:t>用“火爆”形容第三批PPP示范项目申报情况再合适不过。自财政部联合20个部委于6月初启动第三批PPP示范项目申报后，一个多月时间，</w:t>
      </w:r>
      <w:r w:rsidR="00E83548" w:rsidRPr="00C7631D">
        <w:rPr>
          <w:rStyle w:val="a4"/>
          <w:rFonts w:ascii="微软雅黑" w:eastAsia="微软雅黑" w:hAnsi="微软雅黑" w:hint="eastAsia"/>
          <w:color w:val="C00000"/>
          <w:sz w:val="21"/>
          <w:szCs w:val="21"/>
          <w:shd w:val="clear" w:color="auto" w:fill="FFFFFF"/>
        </w:rPr>
        <w:t>财政部PPP中心最终收到1070个申报项目，</w:t>
      </w:r>
      <w:r w:rsidR="00E83548" w:rsidRPr="00C7631D">
        <w:rPr>
          <w:rFonts w:ascii="微软雅黑" w:eastAsia="微软雅黑" w:hAnsi="微软雅黑" w:hint="eastAsia"/>
          <w:color w:val="3E3E3E"/>
          <w:sz w:val="21"/>
          <w:szCs w:val="21"/>
        </w:rPr>
        <w:t>计划总投资额2.2</w:t>
      </w:r>
      <w:proofErr w:type="gramStart"/>
      <w:r w:rsidR="00E83548" w:rsidRPr="00C7631D">
        <w:rPr>
          <w:rFonts w:ascii="微软雅黑" w:eastAsia="微软雅黑" w:hAnsi="微软雅黑" w:hint="eastAsia"/>
          <w:color w:val="3E3E3E"/>
          <w:sz w:val="21"/>
          <w:szCs w:val="21"/>
        </w:rPr>
        <w:t>万亿</w:t>
      </w:r>
      <w:proofErr w:type="gramEnd"/>
      <w:r w:rsidR="00E83548" w:rsidRPr="00C7631D">
        <w:rPr>
          <w:rFonts w:ascii="微软雅黑" w:eastAsia="微软雅黑" w:hAnsi="微软雅黑" w:hint="eastAsia"/>
          <w:color w:val="3E3E3E"/>
          <w:sz w:val="21"/>
          <w:szCs w:val="21"/>
        </w:rPr>
        <w:t>元。</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B050"/>
          <w:sz w:val="21"/>
          <w:szCs w:val="21"/>
        </w:rPr>
        <w:t>二、房产</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2060"/>
          <w:sz w:val="21"/>
          <w:szCs w:val="21"/>
        </w:rPr>
        <w:t>1、法制晚报：</w:t>
      </w:r>
      <w:r w:rsidRPr="00C7631D">
        <w:rPr>
          <w:rFonts w:ascii="微软雅黑" w:eastAsia="微软雅黑" w:hAnsi="微软雅黑" w:hint="eastAsia"/>
          <w:color w:val="3E3E3E"/>
          <w:sz w:val="21"/>
          <w:szCs w:val="21"/>
        </w:rPr>
        <w:t>7月，北京全市</w:t>
      </w:r>
      <w:proofErr w:type="gramStart"/>
      <w:r w:rsidRPr="00C7631D">
        <w:rPr>
          <w:rFonts w:ascii="微软雅黑" w:eastAsia="微软雅黑" w:hAnsi="微软雅黑" w:hint="eastAsia"/>
          <w:color w:val="3E3E3E"/>
          <w:sz w:val="21"/>
          <w:szCs w:val="21"/>
        </w:rPr>
        <w:t>自住型商品房</w:t>
      </w:r>
      <w:proofErr w:type="gramEnd"/>
      <w:r w:rsidRPr="00C7631D">
        <w:rPr>
          <w:rFonts w:ascii="微软雅黑" w:eastAsia="微软雅黑" w:hAnsi="微软雅黑" w:hint="eastAsia"/>
          <w:color w:val="3E3E3E"/>
          <w:sz w:val="21"/>
          <w:szCs w:val="21"/>
        </w:rPr>
        <w:t>共成交1982套，成交量在6月的基础上翻了7倍。此番自住房成交的攀升，引发市场关注。据统计，2014年7月到2016年7月，</w:t>
      </w:r>
      <w:r w:rsidRPr="00C7631D">
        <w:rPr>
          <w:rStyle w:val="a4"/>
          <w:rFonts w:ascii="微软雅黑" w:eastAsia="微软雅黑" w:hAnsi="微软雅黑" w:hint="eastAsia"/>
          <w:color w:val="C00000"/>
          <w:sz w:val="21"/>
          <w:szCs w:val="21"/>
          <w:shd w:val="clear" w:color="auto" w:fill="FFFFFF"/>
        </w:rPr>
        <w:t>自住房在此期间将北京新宅的</w:t>
      </w:r>
      <w:proofErr w:type="gramStart"/>
      <w:r w:rsidRPr="00C7631D">
        <w:rPr>
          <w:rStyle w:val="a4"/>
          <w:rFonts w:ascii="微软雅黑" w:eastAsia="微软雅黑" w:hAnsi="微软雅黑" w:hint="eastAsia"/>
          <w:color w:val="C00000"/>
          <w:sz w:val="21"/>
          <w:szCs w:val="21"/>
          <w:shd w:val="clear" w:color="auto" w:fill="FFFFFF"/>
        </w:rPr>
        <w:t>均价拉</w:t>
      </w:r>
      <w:proofErr w:type="gramEnd"/>
      <w:r w:rsidRPr="00C7631D">
        <w:rPr>
          <w:rStyle w:val="a4"/>
          <w:rFonts w:ascii="微软雅黑" w:eastAsia="微软雅黑" w:hAnsi="微软雅黑" w:hint="eastAsia"/>
          <w:color w:val="C00000"/>
          <w:sz w:val="21"/>
          <w:szCs w:val="21"/>
          <w:shd w:val="clear" w:color="auto" w:fill="FFFFFF"/>
        </w:rPr>
        <w:t>低了7.4%。</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2060"/>
          <w:sz w:val="21"/>
          <w:szCs w:val="21"/>
        </w:rPr>
        <w:t>2、新华社：</w:t>
      </w:r>
      <w:r w:rsidRPr="00C7631D">
        <w:rPr>
          <w:rFonts w:ascii="微软雅黑" w:eastAsia="微软雅黑" w:hAnsi="微软雅黑" w:hint="eastAsia"/>
          <w:color w:val="3E3E3E"/>
          <w:sz w:val="21"/>
          <w:szCs w:val="21"/>
        </w:rPr>
        <w:t>日前在海南举行的2016博鳌房地产论坛上，住建部顾云昌表示，</w:t>
      </w:r>
      <w:r w:rsidRPr="00C7631D">
        <w:rPr>
          <w:rStyle w:val="a4"/>
          <w:rFonts w:ascii="微软雅黑" w:eastAsia="微软雅黑" w:hAnsi="微软雅黑" w:hint="eastAsia"/>
          <w:color w:val="C00000"/>
          <w:sz w:val="21"/>
          <w:szCs w:val="21"/>
          <w:shd w:val="clear" w:color="auto" w:fill="FFFFFF"/>
        </w:rPr>
        <w:t>预测房地产市场下半年将会比较平稳，增速会放缓；</w:t>
      </w:r>
      <w:r w:rsidRPr="00C7631D">
        <w:rPr>
          <w:rFonts w:ascii="微软雅黑" w:eastAsia="微软雅黑" w:hAnsi="微软雅黑" w:hint="eastAsia"/>
          <w:color w:val="3E3E3E"/>
          <w:sz w:val="21"/>
          <w:szCs w:val="21"/>
        </w:rPr>
        <w:t>经济学家巴曙松表示，新增的房</w:t>
      </w:r>
      <w:proofErr w:type="gramStart"/>
      <w:r w:rsidRPr="00C7631D">
        <w:rPr>
          <w:rFonts w:ascii="微软雅黑" w:eastAsia="微软雅黑" w:hAnsi="微软雅黑" w:hint="eastAsia"/>
          <w:color w:val="3E3E3E"/>
          <w:sz w:val="21"/>
          <w:szCs w:val="21"/>
        </w:rPr>
        <w:t>贷销售</w:t>
      </w:r>
      <w:proofErr w:type="gramEnd"/>
      <w:r w:rsidRPr="00C7631D">
        <w:rPr>
          <w:rFonts w:ascii="微软雅黑" w:eastAsia="微软雅黑" w:hAnsi="微软雅黑" w:hint="eastAsia"/>
          <w:color w:val="3E3E3E"/>
          <w:sz w:val="21"/>
          <w:szCs w:val="21"/>
        </w:rPr>
        <w:t>比处于高位，上涨空间有，但不宜有太乐观的预期。</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B050"/>
          <w:sz w:val="21"/>
          <w:szCs w:val="21"/>
        </w:rPr>
        <w:lastRenderedPageBreak/>
        <w:t>三、市场</w:t>
      </w:r>
    </w:p>
    <w:p w:rsidR="00E83548" w:rsidRPr="00C7631D" w:rsidRDefault="00C111A1"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2060"/>
          <w:sz w:val="21"/>
          <w:szCs w:val="21"/>
        </w:rPr>
        <w:t>1</w:t>
      </w:r>
      <w:r w:rsidR="00E83548" w:rsidRPr="00C7631D">
        <w:rPr>
          <w:rStyle w:val="a4"/>
          <w:rFonts w:ascii="微软雅黑" w:eastAsia="微软雅黑" w:hAnsi="微软雅黑" w:hint="eastAsia"/>
          <w:color w:val="002060"/>
          <w:sz w:val="21"/>
          <w:szCs w:val="21"/>
        </w:rPr>
        <w:t>、河北日报：</w:t>
      </w:r>
      <w:r w:rsidR="00E83548" w:rsidRPr="00C7631D">
        <w:rPr>
          <w:rFonts w:ascii="微软雅黑" w:eastAsia="微软雅黑" w:hAnsi="微软雅黑" w:hint="eastAsia"/>
          <w:color w:val="3E3E3E"/>
          <w:sz w:val="21"/>
          <w:szCs w:val="21"/>
        </w:rPr>
        <w:t>今年，河北省将坚决打好钢铁煤炭去产能攻坚战。按照工作安排，</w:t>
      </w:r>
      <w:proofErr w:type="gramStart"/>
      <w:r w:rsidR="00E83548" w:rsidRPr="00C7631D">
        <w:rPr>
          <w:rFonts w:ascii="微软雅黑" w:eastAsia="微软雅黑" w:hAnsi="微软雅黑" w:hint="eastAsia"/>
          <w:color w:val="3E3E3E"/>
          <w:sz w:val="21"/>
          <w:szCs w:val="21"/>
        </w:rPr>
        <w:t>省发改</w:t>
      </w:r>
      <w:proofErr w:type="gramEnd"/>
      <w:r w:rsidR="00E83548" w:rsidRPr="00C7631D">
        <w:rPr>
          <w:rFonts w:ascii="微软雅黑" w:eastAsia="微软雅黑" w:hAnsi="微软雅黑" w:hint="eastAsia"/>
          <w:color w:val="3E3E3E"/>
          <w:sz w:val="21"/>
          <w:szCs w:val="21"/>
        </w:rPr>
        <w:t>委将加快推动张家口、承德、秦皇岛、保定4市成为“基本无煤矿市”，</w:t>
      </w:r>
      <w:r w:rsidR="00E83548" w:rsidRPr="00C7631D">
        <w:rPr>
          <w:rStyle w:val="a4"/>
          <w:rFonts w:ascii="微软雅黑" w:eastAsia="微软雅黑" w:hAnsi="微软雅黑" w:hint="eastAsia"/>
          <w:color w:val="C00000"/>
          <w:sz w:val="21"/>
          <w:szCs w:val="21"/>
          <w:shd w:val="clear" w:color="auto" w:fill="FFFFFF"/>
        </w:rPr>
        <w:t>张家口、保定、廊坊3市将研究制定钢铁产能全部退出方案。</w:t>
      </w:r>
    </w:p>
    <w:p w:rsidR="00E83548" w:rsidRPr="00C7631D" w:rsidRDefault="00C111A1"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2060"/>
          <w:sz w:val="21"/>
          <w:szCs w:val="21"/>
        </w:rPr>
        <w:t>2</w:t>
      </w:r>
      <w:r w:rsidR="00E83548" w:rsidRPr="00C7631D">
        <w:rPr>
          <w:rStyle w:val="a4"/>
          <w:rFonts w:ascii="微软雅黑" w:eastAsia="微软雅黑" w:hAnsi="微软雅黑" w:hint="eastAsia"/>
          <w:color w:val="002060"/>
          <w:sz w:val="21"/>
          <w:szCs w:val="21"/>
        </w:rPr>
        <w:t>、新华网：</w:t>
      </w:r>
      <w:r w:rsidR="00E83548" w:rsidRPr="00C7631D">
        <w:rPr>
          <w:rFonts w:ascii="微软雅黑" w:eastAsia="微软雅黑" w:hAnsi="微软雅黑" w:hint="eastAsia"/>
          <w:color w:val="3E3E3E"/>
          <w:sz w:val="21"/>
          <w:szCs w:val="21"/>
        </w:rPr>
        <w:t>今年上半年，我国旅游经济平稳运行，国内旅游消费和投资两旺，入境旅游走出萧条，实现六个季度连续增长。国家旅游局相关负责人表示，</w:t>
      </w:r>
      <w:r w:rsidR="00E83548" w:rsidRPr="00C7631D">
        <w:rPr>
          <w:rStyle w:val="a4"/>
          <w:rFonts w:ascii="微软雅黑" w:eastAsia="微软雅黑" w:hAnsi="微软雅黑" w:hint="eastAsia"/>
          <w:color w:val="C00000"/>
          <w:sz w:val="21"/>
          <w:szCs w:val="21"/>
          <w:shd w:val="clear" w:color="auto" w:fill="FFFFFF"/>
        </w:rPr>
        <w:t>旅游业正成为拉动经济增长、带动转型升级、实现创业创新的“强劲引擎”。</w:t>
      </w:r>
    </w:p>
    <w:p w:rsidR="00E83548" w:rsidRPr="00C7631D" w:rsidRDefault="00C111A1"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2060"/>
          <w:sz w:val="21"/>
          <w:szCs w:val="21"/>
        </w:rPr>
        <w:t>3</w:t>
      </w:r>
      <w:r w:rsidR="00E83548" w:rsidRPr="00C7631D">
        <w:rPr>
          <w:rStyle w:val="a4"/>
          <w:rFonts w:ascii="微软雅黑" w:eastAsia="微软雅黑" w:hAnsi="微软雅黑" w:hint="eastAsia"/>
          <w:color w:val="002060"/>
          <w:sz w:val="21"/>
          <w:szCs w:val="21"/>
        </w:rPr>
        <w:t>、证券日报：</w:t>
      </w:r>
      <w:r w:rsidR="00E83548" w:rsidRPr="00C7631D">
        <w:rPr>
          <w:rFonts w:ascii="微软雅黑" w:eastAsia="微软雅黑" w:hAnsi="微软雅黑" w:hint="eastAsia"/>
          <w:color w:val="3E3E3E"/>
          <w:sz w:val="21"/>
          <w:szCs w:val="21"/>
        </w:rPr>
        <w:t>智能网联汽车发展技术路线图即将发布，“智能网联汽车”再次引起市场的高度关注。同时，多个关于智能网联汽车的重磅政策于近期陆续出台，</w:t>
      </w:r>
      <w:r w:rsidR="00E83548" w:rsidRPr="00C7631D">
        <w:rPr>
          <w:rStyle w:val="a4"/>
          <w:rFonts w:ascii="微软雅黑" w:eastAsia="微软雅黑" w:hAnsi="微软雅黑" w:hint="eastAsia"/>
          <w:color w:val="C00000"/>
          <w:sz w:val="21"/>
          <w:szCs w:val="21"/>
          <w:shd w:val="clear" w:color="auto" w:fill="FFFFFF"/>
        </w:rPr>
        <w:t>智能网联汽车的发展有望驶上快车道。</w:t>
      </w:r>
    </w:p>
    <w:p w:rsidR="00E83548" w:rsidRPr="00C7631D" w:rsidRDefault="00C111A1"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2060"/>
          <w:sz w:val="21"/>
          <w:szCs w:val="21"/>
        </w:rPr>
        <w:t>4</w:t>
      </w:r>
      <w:r w:rsidR="00E83548" w:rsidRPr="00C7631D">
        <w:rPr>
          <w:rStyle w:val="a4"/>
          <w:rFonts w:ascii="微软雅黑" w:eastAsia="微软雅黑" w:hAnsi="微软雅黑" w:hint="eastAsia"/>
          <w:color w:val="002060"/>
          <w:sz w:val="21"/>
          <w:szCs w:val="21"/>
        </w:rPr>
        <w:t>、新华网：</w:t>
      </w:r>
      <w:r w:rsidR="00E83548" w:rsidRPr="00C7631D">
        <w:rPr>
          <w:rFonts w:ascii="微软雅黑" w:eastAsia="微软雅黑" w:hAnsi="微软雅黑" w:hint="eastAsia"/>
          <w:color w:val="3E3E3E"/>
          <w:sz w:val="21"/>
          <w:szCs w:val="21"/>
        </w:rPr>
        <w:t>黑龙江省近日发布的《黑龙江省钢铁行业化解过剩产能实现脱困发展实施方案》提出，</w:t>
      </w:r>
      <w:r w:rsidR="00E83548" w:rsidRPr="00C7631D">
        <w:rPr>
          <w:rStyle w:val="a4"/>
          <w:rFonts w:ascii="微软雅黑" w:eastAsia="微软雅黑" w:hAnsi="微软雅黑" w:hint="eastAsia"/>
          <w:color w:val="C00000"/>
          <w:sz w:val="21"/>
          <w:szCs w:val="21"/>
          <w:shd w:val="clear" w:color="auto" w:fill="FFFFFF"/>
        </w:rPr>
        <w:t>到2020年底前，压减炼钢产能610万吨，</w:t>
      </w:r>
      <w:r w:rsidR="00E83548" w:rsidRPr="00C7631D">
        <w:rPr>
          <w:rFonts w:ascii="微软雅黑" w:eastAsia="微软雅黑" w:hAnsi="微软雅黑" w:hint="eastAsia"/>
          <w:color w:val="3E3E3E"/>
          <w:sz w:val="21"/>
          <w:szCs w:val="21"/>
        </w:rPr>
        <w:t>这相当于当前这个省炼钢总产能的1／3。</w:t>
      </w:r>
    </w:p>
    <w:p w:rsidR="00E83548" w:rsidRPr="00C7631D" w:rsidRDefault="00167937"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2060"/>
          <w:sz w:val="21"/>
          <w:szCs w:val="21"/>
        </w:rPr>
        <w:t>5</w:t>
      </w:r>
      <w:r w:rsidR="00E83548" w:rsidRPr="00C7631D">
        <w:rPr>
          <w:rStyle w:val="a4"/>
          <w:rFonts w:ascii="微软雅黑" w:eastAsia="微软雅黑" w:hAnsi="微软雅黑" w:hint="eastAsia"/>
          <w:color w:val="002060"/>
          <w:sz w:val="21"/>
          <w:szCs w:val="21"/>
        </w:rPr>
        <w:t>、我的钢铁：</w:t>
      </w:r>
      <w:r w:rsidR="00E83548" w:rsidRPr="00C7631D">
        <w:rPr>
          <w:rFonts w:ascii="微软雅黑" w:eastAsia="微软雅黑" w:hAnsi="微软雅黑" w:hint="eastAsia"/>
          <w:color w:val="3E3E3E"/>
          <w:sz w:val="21"/>
          <w:szCs w:val="21"/>
        </w:rPr>
        <w:t>最近一周，</w:t>
      </w:r>
      <w:r w:rsidR="00E83548" w:rsidRPr="00C7631D">
        <w:rPr>
          <w:rStyle w:val="a4"/>
          <w:rFonts w:ascii="微软雅黑" w:eastAsia="微软雅黑" w:hAnsi="微软雅黑" w:hint="eastAsia"/>
          <w:color w:val="C00000"/>
          <w:sz w:val="21"/>
          <w:szCs w:val="21"/>
          <w:shd w:val="clear" w:color="auto" w:fill="FFFFFF"/>
        </w:rPr>
        <w:t>国内现货钢</w:t>
      </w:r>
      <w:proofErr w:type="gramStart"/>
      <w:r w:rsidR="00E83548" w:rsidRPr="00C7631D">
        <w:rPr>
          <w:rStyle w:val="a4"/>
          <w:rFonts w:ascii="微软雅黑" w:eastAsia="微软雅黑" w:hAnsi="微软雅黑" w:hint="eastAsia"/>
          <w:color w:val="C00000"/>
          <w:sz w:val="21"/>
          <w:szCs w:val="21"/>
          <w:shd w:val="clear" w:color="auto" w:fill="FFFFFF"/>
        </w:rPr>
        <w:t>价综合</w:t>
      </w:r>
      <w:proofErr w:type="gramEnd"/>
      <w:r w:rsidR="00E83548" w:rsidRPr="00C7631D">
        <w:rPr>
          <w:rStyle w:val="a4"/>
          <w:rFonts w:ascii="微软雅黑" w:eastAsia="微软雅黑" w:hAnsi="微软雅黑" w:hint="eastAsia"/>
          <w:color w:val="C00000"/>
          <w:sz w:val="21"/>
          <w:szCs w:val="21"/>
          <w:shd w:val="clear" w:color="auto" w:fill="FFFFFF"/>
        </w:rPr>
        <w:t>指数报收于97.52点，周涨1.93%。</w:t>
      </w:r>
      <w:r w:rsidR="00E83548" w:rsidRPr="00C7631D">
        <w:rPr>
          <w:rFonts w:ascii="微软雅黑" w:eastAsia="微软雅黑" w:hAnsi="微软雅黑" w:hint="eastAsia"/>
          <w:color w:val="3E3E3E"/>
          <w:sz w:val="21"/>
          <w:szCs w:val="21"/>
        </w:rPr>
        <w:t>目前，黑色系期货品种的价格冲高后震荡盘整运行。受这些因素的影响，钢材现货市场价格整体是震荡上涨，涨幅较之前有所扩大。</w:t>
      </w:r>
    </w:p>
    <w:p w:rsidR="00E83548" w:rsidRPr="00C7631D" w:rsidRDefault="00167937"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2060"/>
          <w:sz w:val="21"/>
          <w:szCs w:val="21"/>
        </w:rPr>
        <w:t>6</w:t>
      </w:r>
      <w:r w:rsidR="00E83548" w:rsidRPr="00C7631D">
        <w:rPr>
          <w:rStyle w:val="a4"/>
          <w:rFonts w:ascii="微软雅黑" w:eastAsia="微软雅黑" w:hAnsi="微软雅黑" w:hint="eastAsia"/>
          <w:color w:val="002060"/>
          <w:sz w:val="21"/>
          <w:szCs w:val="21"/>
        </w:rPr>
        <w:t>、</w:t>
      </w:r>
      <w:proofErr w:type="gramStart"/>
      <w:r w:rsidR="00E83548" w:rsidRPr="00C7631D">
        <w:rPr>
          <w:rStyle w:val="a4"/>
          <w:rFonts w:ascii="微软雅黑" w:eastAsia="微软雅黑" w:hAnsi="微软雅黑" w:hint="eastAsia"/>
          <w:color w:val="002060"/>
          <w:sz w:val="21"/>
          <w:szCs w:val="21"/>
        </w:rPr>
        <w:t>一</w:t>
      </w:r>
      <w:proofErr w:type="gramEnd"/>
      <w:r w:rsidR="00E83548" w:rsidRPr="00C7631D">
        <w:rPr>
          <w:rStyle w:val="a4"/>
          <w:rFonts w:ascii="微软雅黑" w:eastAsia="微软雅黑" w:hAnsi="微软雅黑" w:hint="eastAsia"/>
          <w:color w:val="002060"/>
          <w:sz w:val="21"/>
          <w:szCs w:val="21"/>
        </w:rPr>
        <w:t>财：</w:t>
      </w:r>
      <w:r w:rsidR="00E83548" w:rsidRPr="00C7631D">
        <w:rPr>
          <w:rFonts w:ascii="微软雅黑" w:eastAsia="微软雅黑" w:hAnsi="微软雅黑" w:hint="eastAsia"/>
          <w:color w:val="3E3E3E"/>
          <w:sz w:val="21"/>
          <w:szCs w:val="21"/>
        </w:rPr>
        <w:t>第一批第三方支付牌照续牌千呼万唤始出来，部分支付牌照业务被收缩。业内人士看来，存在着多种信号，包括监管趋严的表现，支付行业发展趋势、业务格局转变的结果，</w:t>
      </w:r>
      <w:r w:rsidR="00E83548" w:rsidRPr="00C7631D">
        <w:rPr>
          <w:rStyle w:val="a4"/>
          <w:rFonts w:ascii="微软雅黑" w:eastAsia="微软雅黑" w:hAnsi="微软雅黑" w:hint="eastAsia"/>
          <w:color w:val="C00000"/>
          <w:sz w:val="21"/>
          <w:szCs w:val="21"/>
          <w:shd w:val="clear" w:color="auto" w:fill="FFFFFF"/>
        </w:rPr>
        <w:t>未来市场存量牌照有可能数量减少的前期铺垫。</w:t>
      </w:r>
    </w:p>
    <w:p w:rsidR="00E83548" w:rsidRPr="00C7631D" w:rsidRDefault="00167937"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2060"/>
          <w:sz w:val="21"/>
          <w:szCs w:val="21"/>
        </w:rPr>
        <w:t>7</w:t>
      </w:r>
      <w:r w:rsidR="00E83548" w:rsidRPr="00C7631D">
        <w:rPr>
          <w:rStyle w:val="a4"/>
          <w:rFonts w:ascii="微软雅黑" w:eastAsia="微软雅黑" w:hAnsi="微软雅黑" w:hint="eastAsia"/>
          <w:color w:val="002060"/>
          <w:sz w:val="21"/>
          <w:szCs w:val="21"/>
        </w:rPr>
        <w:t>、央视新闻：</w:t>
      </w:r>
      <w:r w:rsidR="00E83548" w:rsidRPr="00C7631D">
        <w:rPr>
          <w:rStyle w:val="a4"/>
          <w:rFonts w:ascii="微软雅黑" w:eastAsia="微软雅黑" w:hAnsi="微软雅黑" w:hint="eastAsia"/>
          <w:color w:val="C00000"/>
          <w:sz w:val="21"/>
          <w:szCs w:val="21"/>
          <w:shd w:val="clear" w:color="auto" w:fill="FFFFFF"/>
        </w:rPr>
        <w:t>我国首颗量子科学实验卫星即将于本月中下旬择机发射升空，</w:t>
      </w:r>
      <w:r w:rsidR="00E83548" w:rsidRPr="00C7631D">
        <w:rPr>
          <w:rFonts w:ascii="微软雅黑" w:eastAsia="微软雅黑" w:hAnsi="微软雅黑" w:hint="eastAsia"/>
          <w:color w:val="3E3E3E"/>
          <w:sz w:val="21"/>
          <w:szCs w:val="21"/>
        </w:rPr>
        <w:t>目前这颗卫星在发射前的准备工作已经基本完成。作为我国发射的首颗量子科学实验卫星，其科技含量及精密程度都达到该研究领域前所未有的高度。</w:t>
      </w:r>
    </w:p>
    <w:p w:rsidR="00E83548" w:rsidRPr="00C7631D" w:rsidRDefault="00167937"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2060"/>
          <w:sz w:val="21"/>
          <w:szCs w:val="21"/>
        </w:rPr>
        <w:t>8</w:t>
      </w:r>
      <w:r w:rsidR="00E83548" w:rsidRPr="00C7631D">
        <w:rPr>
          <w:rStyle w:val="a4"/>
          <w:rFonts w:ascii="微软雅黑" w:eastAsia="微软雅黑" w:hAnsi="微软雅黑" w:hint="eastAsia"/>
          <w:color w:val="002060"/>
          <w:sz w:val="21"/>
          <w:szCs w:val="21"/>
        </w:rPr>
        <w:t>、新三板：</w:t>
      </w:r>
      <w:r w:rsidR="00E83548" w:rsidRPr="00C7631D">
        <w:rPr>
          <w:rFonts w:ascii="微软雅黑" w:eastAsia="微软雅黑" w:hAnsi="微软雅黑" w:hint="eastAsia"/>
          <w:color w:val="3E3E3E"/>
          <w:sz w:val="21"/>
          <w:szCs w:val="21"/>
        </w:rPr>
        <w:t>上周（8.8－8.12），新增396家挂牌公司，较前一周多增加165家；成交金额33.17亿，环比上涨6.26%。截至目前，</w:t>
      </w:r>
      <w:r w:rsidR="00E83548" w:rsidRPr="00C7631D">
        <w:rPr>
          <w:rStyle w:val="a4"/>
          <w:rFonts w:ascii="微软雅黑" w:eastAsia="微软雅黑" w:hAnsi="微软雅黑" w:hint="eastAsia"/>
          <w:color w:val="C00000"/>
          <w:sz w:val="21"/>
          <w:szCs w:val="21"/>
          <w:shd w:val="clear" w:color="auto" w:fill="FFFFFF"/>
        </w:rPr>
        <w:t>新三板挂牌公司总数达8542家，总市值达3.28</w:t>
      </w:r>
      <w:proofErr w:type="gramStart"/>
      <w:r w:rsidR="00E83548" w:rsidRPr="00C7631D">
        <w:rPr>
          <w:rStyle w:val="a4"/>
          <w:rFonts w:ascii="微软雅黑" w:eastAsia="微软雅黑" w:hAnsi="微软雅黑" w:hint="eastAsia"/>
          <w:color w:val="C00000"/>
          <w:sz w:val="21"/>
          <w:szCs w:val="21"/>
          <w:shd w:val="clear" w:color="auto" w:fill="FFFFFF"/>
        </w:rPr>
        <w:t>万亿</w:t>
      </w:r>
      <w:proofErr w:type="gramEnd"/>
      <w:r w:rsidR="00E83548" w:rsidRPr="00C7631D">
        <w:rPr>
          <w:rStyle w:val="a4"/>
          <w:rFonts w:ascii="微软雅黑" w:eastAsia="微软雅黑" w:hAnsi="微软雅黑" w:hint="eastAsia"/>
          <w:color w:val="C00000"/>
          <w:sz w:val="21"/>
          <w:szCs w:val="21"/>
          <w:shd w:val="clear" w:color="auto" w:fill="FFFFFF"/>
        </w:rPr>
        <w:t>。</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B050"/>
          <w:sz w:val="21"/>
          <w:szCs w:val="21"/>
        </w:rPr>
        <w:t>四、股市</w:t>
      </w:r>
    </w:p>
    <w:p w:rsidR="00E83548" w:rsidRPr="00C7631D" w:rsidRDefault="00167937"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2060"/>
          <w:sz w:val="21"/>
          <w:szCs w:val="21"/>
        </w:rPr>
        <w:lastRenderedPageBreak/>
        <w:t>1</w:t>
      </w:r>
      <w:r w:rsidR="00E83548" w:rsidRPr="00C7631D">
        <w:rPr>
          <w:rStyle w:val="a4"/>
          <w:rFonts w:ascii="微软雅黑" w:eastAsia="微软雅黑" w:hAnsi="微软雅黑" w:hint="eastAsia"/>
          <w:color w:val="002060"/>
          <w:sz w:val="21"/>
          <w:szCs w:val="21"/>
        </w:rPr>
        <w:t>、沪深交易所：</w:t>
      </w:r>
      <w:r w:rsidR="00E83548" w:rsidRPr="00C7631D">
        <w:rPr>
          <w:rFonts w:ascii="微软雅黑" w:eastAsia="微软雅黑" w:hAnsi="微软雅黑" w:hint="eastAsia"/>
          <w:color w:val="3E3E3E"/>
          <w:sz w:val="21"/>
          <w:szCs w:val="21"/>
        </w:rPr>
        <w:t>截至12日上周最后一个交易日，</w:t>
      </w:r>
      <w:r w:rsidR="00E83548" w:rsidRPr="00C7631D">
        <w:rPr>
          <w:rStyle w:val="a4"/>
          <w:rFonts w:ascii="微软雅黑" w:eastAsia="微软雅黑" w:hAnsi="微软雅黑" w:hint="eastAsia"/>
          <w:color w:val="C00000"/>
          <w:sz w:val="21"/>
          <w:szCs w:val="21"/>
          <w:shd w:val="clear" w:color="auto" w:fill="FFFFFF"/>
        </w:rPr>
        <w:t>沪深股市流通</w:t>
      </w:r>
      <w:proofErr w:type="gramStart"/>
      <w:r w:rsidR="00E83548" w:rsidRPr="00C7631D">
        <w:rPr>
          <w:rStyle w:val="a4"/>
          <w:rFonts w:ascii="微软雅黑" w:eastAsia="微软雅黑" w:hAnsi="微软雅黑" w:hint="eastAsia"/>
          <w:color w:val="C00000"/>
          <w:sz w:val="21"/>
          <w:szCs w:val="21"/>
          <w:shd w:val="clear" w:color="auto" w:fill="FFFFFF"/>
        </w:rPr>
        <w:t>市值报</w:t>
      </w:r>
      <w:proofErr w:type="gramEnd"/>
      <w:r w:rsidR="00E83548" w:rsidRPr="00C7631D">
        <w:rPr>
          <w:rStyle w:val="a4"/>
          <w:rFonts w:ascii="微软雅黑" w:eastAsia="微软雅黑" w:hAnsi="微软雅黑" w:hint="eastAsia"/>
          <w:color w:val="C00000"/>
          <w:sz w:val="21"/>
          <w:szCs w:val="21"/>
          <w:shd w:val="clear" w:color="auto" w:fill="FFFFFF"/>
        </w:rPr>
        <w:t>37.54</w:t>
      </w:r>
      <w:proofErr w:type="gramStart"/>
      <w:r w:rsidR="00E83548" w:rsidRPr="00C7631D">
        <w:rPr>
          <w:rStyle w:val="a4"/>
          <w:rFonts w:ascii="微软雅黑" w:eastAsia="微软雅黑" w:hAnsi="微软雅黑" w:hint="eastAsia"/>
          <w:color w:val="C00000"/>
          <w:sz w:val="21"/>
          <w:szCs w:val="21"/>
          <w:shd w:val="clear" w:color="auto" w:fill="FFFFFF"/>
        </w:rPr>
        <w:t>万亿</w:t>
      </w:r>
      <w:proofErr w:type="gramEnd"/>
      <w:r w:rsidR="00E83548" w:rsidRPr="00C7631D">
        <w:rPr>
          <w:rStyle w:val="a4"/>
          <w:rFonts w:ascii="微软雅黑" w:eastAsia="微软雅黑" w:hAnsi="微软雅黑" w:hint="eastAsia"/>
          <w:color w:val="C00000"/>
          <w:sz w:val="21"/>
          <w:szCs w:val="21"/>
          <w:shd w:val="clear" w:color="auto" w:fill="FFFFFF"/>
        </w:rPr>
        <w:t>，一周上涨2.3%。</w:t>
      </w:r>
      <w:r w:rsidR="00E83548" w:rsidRPr="00C7631D">
        <w:rPr>
          <w:rFonts w:ascii="微软雅黑" w:eastAsia="微软雅黑" w:hAnsi="微软雅黑" w:hint="eastAsia"/>
          <w:color w:val="3E3E3E"/>
          <w:sz w:val="21"/>
          <w:szCs w:val="21"/>
        </w:rPr>
        <w:t>两市股票平均价格10.17元，一周上涨2.12%。沪市上市公司1116家，平均市盈率15.19；深市上市公司1798家，平均市盈率40.45。</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B050"/>
          <w:sz w:val="21"/>
          <w:szCs w:val="21"/>
        </w:rPr>
        <w:t>五、国际</w:t>
      </w:r>
    </w:p>
    <w:p w:rsidR="00E83548" w:rsidRPr="00C7631D" w:rsidRDefault="00124E49"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2060"/>
          <w:sz w:val="21"/>
          <w:szCs w:val="21"/>
        </w:rPr>
        <w:t>1</w:t>
      </w:r>
      <w:r w:rsidR="00E83548" w:rsidRPr="00C7631D">
        <w:rPr>
          <w:rStyle w:val="a4"/>
          <w:rFonts w:ascii="微软雅黑" w:eastAsia="微软雅黑" w:hAnsi="微软雅黑" w:hint="eastAsia"/>
          <w:color w:val="002060"/>
          <w:sz w:val="21"/>
          <w:szCs w:val="21"/>
        </w:rPr>
        <w:t>、新华社：</w:t>
      </w:r>
      <w:r w:rsidR="00E83548" w:rsidRPr="00C7631D">
        <w:rPr>
          <w:rFonts w:ascii="微软雅黑" w:eastAsia="微软雅黑" w:hAnsi="微软雅黑" w:hint="eastAsia"/>
          <w:color w:val="3E3E3E"/>
          <w:sz w:val="21"/>
          <w:szCs w:val="21"/>
        </w:rPr>
        <w:t>巴基斯坦M4高速公路项目13日举行开工仪式，</w:t>
      </w:r>
      <w:r w:rsidR="00E83548" w:rsidRPr="00C7631D">
        <w:rPr>
          <w:rStyle w:val="a4"/>
          <w:rFonts w:ascii="微软雅黑" w:eastAsia="微软雅黑" w:hAnsi="微软雅黑" w:hint="eastAsia"/>
          <w:color w:val="C00000"/>
          <w:sz w:val="21"/>
          <w:szCs w:val="21"/>
          <w:shd w:val="clear" w:color="auto" w:fill="FFFFFF"/>
        </w:rPr>
        <w:t>标志着亚洲基础设施投资银行在巴基斯坦投资的首个公路项目正式破土动工。</w:t>
      </w:r>
      <w:r w:rsidR="00E83548" w:rsidRPr="00C7631D">
        <w:rPr>
          <w:rFonts w:ascii="微软雅黑" w:eastAsia="微软雅黑" w:hAnsi="微软雅黑" w:hint="eastAsia"/>
          <w:color w:val="3E3E3E"/>
          <w:sz w:val="21"/>
          <w:szCs w:val="21"/>
        </w:rPr>
        <w:t>中国驻巴基斯坦大使表示，希望负责项目建设的中国公司按期保质、安全高效地完成公路建设。</w:t>
      </w:r>
    </w:p>
    <w:p w:rsidR="00E83548" w:rsidRPr="00C7631D" w:rsidRDefault="00124E49"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2060"/>
          <w:sz w:val="21"/>
          <w:szCs w:val="21"/>
        </w:rPr>
        <w:t>2</w:t>
      </w:r>
      <w:r w:rsidR="00E83548" w:rsidRPr="00C7631D">
        <w:rPr>
          <w:rStyle w:val="a4"/>
          <w:rFonts w:ascii="微软雅黑" w:eastAsia="微软雅黑" w:hAnsi="微软雅黑" w:hint="eastAsia"/>
          <w:color w:val="002060"/>
          <w:sz w:val="21"/>
          <w:szCs w:val="21"/>
        </w:rPr>
        <w:t>、上周五，波罗的海干散货指数涨2.76%，</w:t>
      </w:r>
      <w:r w:rsidR="00E83548" w:rsidRPr="00C7631D">
        <w:rPr>
          <w:rFonts w:ascii="微软雅黑" w:eastAsia="微软雅黑" w:hAnsi="微软雅黑" w:hint="eastAsia"/>
          <w:color w:val="3E3E3E"/>
          <w:sz w:val="21"/>
          <w:szCs w:val="21"/>
        </w:rPr>
        <w:t>报671点，周涨5.5%。</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B050"/>
          <w:sz w:val="21"/>
          <w:szCs w:val="21"/>
        </w:rPr>
        <w:t>六、外汇</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2060"/>
          <w:sz w:val="21"/>
          <w:szCs w:val="21"/>
        </w:rPr>
        <w:t>1、上周五，在岸人民币兑美元16:30收盘，报6.6446，</w:t>
      </w:r>
      <w:r w:rsidRPr="00C7631D">
        <w:rPr>
          <w:rFonts w:ascii="微软雅黑" w:eastAsia="微软雅黑" w:hAnsi="微软雅黑" w:hint="eastAsia"/>
          <w:color w:val="3E3E3E"/>
          <w:sz w:val="21"/>
          <w:szCs w:val="21"/>
        </w:rPr>
        <w:t>跌0.047%，周涨0.01%；</w:t>
      </w:r>
      <w:r w:rsidRPr="00C7631D">
        <w:rPr>
          <w:rStyle w:val="a4"/>
          <w:rFonts w:ascii="微软雅黑" w:eastAsia="微软雅黑" w:hAnsi="微软雅黑" w:hint="eastAsia"/>
          <w:color w:val="002060"/>
          <w:sz w:val="21"/>
          <w:szCs w:val="21"/>
        </w:rPr>
        <w:t>人民币</w:t>
      </w:r>
      <w:proofErr w:type="gramStart"/>
      <w:r w:rsidRPr="00C7631D">
        <w:rPr>
          <w:rStyle w:val="a4"/>
          <w:rFonts w:ascii="微软雅黑" w:eastAsia="微软雅黑" w:hAnsi="微软雅黑" w:hint="eastAsia"/>
          <w:color w:val="002060"/>
          <w:sz w:val="21"/>
          <w:szCs w:val="21"/>
        </w:rPr>
        <w:t>中间价报</w:t>
      </w:r>
      <w:proofErr w:type="gramEnd"/>
      <w:r w:rsidRPr="00C7631D">
        <w:rPr>
          <w:rStyle w:val="a4"/>
          <w:rFonts w:ascii="微软雅黑" w:eastAsia="微软雅黑" w:hAnsi="微软雅黑" w:hint="eastAsia"/>
          <w:color w:val="002060"/>
          <w:sz w:val="21"/>
          <w:szCs w:val="21"/>
        </w:rPr>
        <w:t>6.6543，</w:t>
      </w:r>
      <w:r w:rsidRPr="00C7631D">
        <w:rPr>
          <w:rFonts w:ascii="微软雅黑" w:eastAsia="微软雅黑" w:hAnsi="微软雅黑" w:hint="eastAsia"/>
          <w:color w:val="3E3E3E"/>
          <w:sz w:val="21"/>
          <w:szCs w:val="21"/>
        </w:rPr>
        <w:t>周跌0.21%。</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B050"/>
          <w:sz w:val="21"/>
          <w:szCs w:val="21"/>
        </w:rPr>
        <w:t>七、美股</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2060"/>
          <w:sz w:val="21"/>
          <w:szCs w:val="21"/>
        </w:rPr>
        <w:t>1、上周五，道指跌0.2%，至18576.47点，</w:t>
      </w:r>
      <w:r w:rsidRPr="00C7631D">
        <w:rPr>
          <w:rFonts w:ascii="微软雅黑" w:eastAsia="微软雅黑" w:hAnsi="微软雅黑" w:hint="eastAsia"/>
          <w:color w:val="3E3E3E"/>
          <w:sz w:val="21"/>
          <w:szCs w:val="21"/>
        </w:rPr>
        <w:t>周涨0.18%；</w:t>
      </w:r>
      <w:proofErr w:type="gramStart"/>
      <w:r w:rsidRPr="00C7631D">
        <w:rPr>
          <w:rStyle w:val="a4"/>
          <w:rFonts w:ascii="微软雅黑" w:eastAsia="微软雅黑" w:hAnsi="微软雅黑" w:hint="eastAsia"/>
          <w:color w:val="002060"/>
          <w:sz w:val="21"/>
          <w:szCs w:val="21"/>
        </w:rPr>
        <w:t>标普</w:t>
      </w:r>
      <w:proofErr w:type="gramEnd"/>
      <w:r w:rsidRPr="00C7631D">
        <w:rPr>
          <w:rStyle w:val="a4"/>
          <w:rFonts w:ascii="微软雅黑" w:eastAsia="微软雅黑" w:hAnsi="微软雅黑" w:hint="eastAsia"/>
          <w:color w:val="002060"/>
          <w:sz w:val="21"/>
          <w:szCs w:val="21"/>
        </w:rPr>
        <w:t>500指数跌0.08%，至2184.05点，</w:t>
      </w:r>
      <w:r w:rsidRPr="00C7631D">
        <w:rPr>
          <w:rFonts w:ascii="微软雅黑" w:eastAsia="微软雅黑" w:hAnsi="微软雅黑" w:hint="eastAsia"/>
          <w:color w:val="3E3E3E"/>
          <w:sz w:val="21"/>
          <w:szCs w:val="21"/>
        </w:rPr>
        <w:t>周涨0.05%；</w:t>
      </w:r>
      <w:proofErr w:type="gramStart"/>
      <w:r w:rsidRPr="00C7631D">
        <w:rPr>
          <w:rStyle w:val="a4"/>
          <w:rFonts w:ascii="微软雅黑" w:eastAsia="微软雅黑" w:hAnsi="微软雅黑" w:hint="eastAsia"/>
          <w:color w:val="002060"/>
          <w:sz w:val="21"/>
          <w:szCs w:val="21"/>
        </w:rPr>
        <w:t>纳指涨</w:t>
      </w:r>
      <w:proofErr w:type="gramEnd"/>
      <w:r w:rsidRPr="00C7631D">
        <w:rPr>
          <w:rStyle w:val="a4"/>
          <w:rFonts w:ascii="微软雅黑" w:eastAsia="微软雅黑" w:hAnsi="微软雅黑" w:hint="eastAsia"/>
          <w:color w:val="002060"/>
          <w:sz w:val="21"/>
          <w:szCs w:val="21"/>
        </w:rPr>
        <w:t>0.09%，至5232.89点，</w:t>
      </w:r>
      <w:r w:rsidRPr="00C7631D">
        <w:rPr>
          <w:rFonts w:ascii="微软雅黑" w:eastAsia="微软雅黑" w:hAnsi="微软雅黑" w:hint="eastAsia"/>
          <w:color w:val="3E3E3E"/>
          <w:sz w:val="21"/>
          <w:szCs w:val="21"/>
        </w:rPr>
        <w:t>周涨0.23%。</w:t>
      </w:r>
    </w:p>
    <w:p w:rsidR="00E83548" w:rsidRPr="00C7631D" w:rsidRDefault="00124E49"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Pr>
          <w:rStyle w:val="a4"/>
          <w:rFonts w:ascii="微软雅黑" w:eastAsia="微软雅黑" w:hAnsi="微软雅黑" w:hint="eastAsia"/>
          <w:color w:val="00B050"/>
          <w:sz w:val="21"/>
          <w:szCs w:val="21"/>
        </w:rPr>
        <w:t>八</w:t>
      </w:r>
      <w:r w:rsidR="00E83548" w:rsidRPr="00C7631D">
        <w:rPr>
          <w:rStyle w:val="a4"/>
          <w:rFonts w:ascii="微软雅黑" w:eastAsia="微软雅黑" w:hAnsi="微软雅黑" w:hint="eastAsia"/>
          <w:color w:val="00B050"/>
          <w:sz w:val="21"/>
          <w:szCs w:val="21"/>
        </w:rPr>
        <w:t>、石油</w:t>
      </w:r>
    </w:p>
    <w:p w:rsidR="00E83548" w:rsidRPr="00C7631D" w:rsidRDefault="00E83548" w:rsidP="00E83548">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sz w:val="21"/>
          <w:szCs w:val="21"/>
        </w:rPr>
      </w:pPr>
      <w:r w:rsidRPr="00C7631D">
        <w:rPr>
          <w:rStyle w:val="a4"/>
          <w:rFonts w:ascii="微软雅黑" w:eastAsia="微软雅黑" w:hAnsi="微软雅黑" w:hint="eastAsia"/>
          <w:color w:val="002060"/>
          <w:sz w:val="21"/>
          <w:szCs w:val="21"/>
        </w:rPr>
        <w:t>1、上周五，WTI9月原油期货涨2.3%，</w:t>
      </w:r>
      <w:r w:rsidRPr="00C7631D">
        <w:rPr>
          <w:rFonts w:ascii="微软雅黑" w:eastAsia="微软雅黑" w:hAnsi="微软雅黑" w:hint="eastAsia"/>
          <w:color w:val="3E3E3E"/>
          <w:sz w:val="21"/>
          <w:szCs w:val="21"/>
        </w:rPr>
        <w:t>至44.49美元／桶，周涨6.4%；</w:t>
      </w:r>
      <w:r w:rsidRPr="00C7631D">
        <w:rPr>
          <w:rStyle w:val="a4"/>
          <w:rFonts w:ascii="微软雅黑" w:eastAsia="微软雅黑" w:hAnsi="微软雅黑" w:hint="eastAsia"/>
          <w:color w:val="002060"/>
          <w:sz w:val="21"/>
          <w:szCs w:val="21"/>
        </w:rPr>
        <w:t>ICE布伦特10月原油期货涨2.02%，</w:t>
      </w:r>
      <w:r w:rsidRPr="00C7631D">
        <w:rPr>
          <w:rFonts w:ascii="微软雅黑" w:eastAsia="微软雅黑" w:hAnsi="微软雅黑" w:hint="eastAsia"/>
          <w:color w:val="3E3E3E"/>
          <w:sz w:val="21"/>
          <w:szCs w:val="21"/>
        </w:rPr>
        <w:t>至46.97美元／桶，周涨5.9%。加拿大皇家银行指出，无论油价如何反弹，依然认为当前油市处于超卖局面。</w:t>
      </w:r>
      <w:r w:rsidRPr="00C7631D">
        <w:rPr>
          <w:rStyle w:val="a4"/>
          <w:rFonts w:ascii="微软雅黑" w:eastAsia="微软雅黑" w:hAnsi="微软雅黑" w:hint="eastAsia"/>
          <w:color w:val="C00000"/>
          <w:sz w:val="21"/>
          <w:szCs w:val="21"/>
          <w:shd w:val="clear" w:color="auto" w:fill="FFFFFF"/>
        </w:rPr>
        <w:t>因此近期油价还将保持震荡，走势仍不清晰。</w:t>
      </w:r>
    </w:p>
    <w:p w:rsidR="00E83548" w:rsidRPr="00E83548" w:rsidRDefault="00E83548" w:rsidP="00E83548">
      <w:pPr>
        <w:snapToGrid w:val="0"/>
        <w:spacing w:line="360" w:lineRule="auto"/>
        <w:rPr>
          <w:szCs w:val="21"/>
        </w:rPr>
      </w:pPr>
    </w:p>
    <w:sectPr w:rsidR="00E83548" w:rsidRPr="00E83548" w:rsidSect="008E05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3548"/>
    <w:rsid w:val="00124E49"/>
    <w:rsid w:val="00167937"/>
    <w:rsid w:val="008E0584"/>
    <w:rsid w:val="00C111A1"/>
    <w:rsid w:val="00C7631D"/>
    <w:rsid w:val="00E83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5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83548"/>
    <w:rPr>
      <w:b/>
      <w:bCs/>
    </w:rPr>
  </w:style>
</w:styles>
</file>

<file path=word/webSettings.xml><?xml version="1.0" encoding="utf-8"?>
<w:webSettings xmlns:r="http://schemas.openxmlformats.org/officeDocument/2006/relationships" xmlns:w="http://schemas.openxmlformats.org/wordprocessingml/2006/main">
  <w:divs>
    <w:div w:id="998339455">
      <w:bodyDiv w:val="1"/>
      <w:marLeft w:val="0"/>
      <w:marRight w:val="0"/>
      <w:marTop w:val="0"/>
      <w:marBottom w:val="0"/>
      <w:divBdr>
        <w:top w:val="none" w:sz="0" w:space="0" w:color="auto"/>
        <w:left w:val="none" w:sz="0" w:space="0" w:color="auto"/>
        <w:bottom w:val="none" w:sz="0" w:space="0" w:color="auto"/>
        <w:right w:val="none" w:sz="0" w:space="0" w:color="auto"/>
      </w:divBdr>
      <w:divsChild>
        <w:div w:id="60522236">
          <w:marLeft w:val="0"/>
          <w:marRight w:val="0"/>
          <w:marTop w:val="0"/>
          <w:marBottom w:val="0"/>
          <w:divBdr>
            <w:top w:val="none" w:sz="0" w:space="0" w:color="auto"/>
            <w:left w:val="none" w:sz="0" w:space="0" w:color="auto"/>
            <w:bottom w:val="none" w:sz="0" w:space="0" w:color="auto"/>
            <w:right w:val="none" w:sz="0" w:space="0" w:color="auto"/>
          </w:divBdr>
          <w:divsChild>
            <w:div w:id="221478170">
              <w:marLeft w:val="0"/>
              <w:marRight w:val="0"/>
              <w:marTop w:val="0"/>
              <w:marBottom w:val="0"/>
              <w:divBdr>
                <w:top w:val="none" w:sz="0" w:space="0" w:color="auto"/>
                <w:left w:val="none" w:sz="0" w:space="0" w:color="auto"/>
                <w:bottom w:val="none" w:sz="0" w:space="0" w:color="auto"/>
                <w:right w:val="none" w:sz="0" w:space="0" w:color="auto"/>
              </w:divBdr>
              <w:divsChild>
                <w:div w:id="1013609914">
                  <w:marLeft w:val="0"/>
                  <w:marRight w:val="0"/>
                  <w:marTop w:val="0"/>
                  <w:marBottom w:val="0"/>
                  <w:divBdr>
                    <w:top w:val="none" w:sz="0" w:space="0" w:color="auto"/>
                    <w:left w:val="none" w:sz="0" w:space="0" w:color="auto"/>
                    <w:bottom w:val="none" w:sz="0" w:space="0" w:color="auto"/>
                    <w:right w:val="none" w:sz="0" w:space="0" w:color="auto"/>
                  </w:divBdr>
                  <w:divsChild>
                    <w:div w:id="672995882">
                      <w:marLeft w:val="0"/>
                      <w:marRight w:val="0"/>
                      <w:marTop w:val="0"/>
                      <w:marBottom w:val="0"/>
                      <w:divBdr>
                        <w:top w:val="none" w:sz="0" w:space="0" w:color="auto"/>
                        <w:left w:val="none" w:sz="0" w:space="0" w:color="auto"/>
                        <w:bottom w:val="none" w:sz="0" w:space="0" w:color="auto"/>
                        <w:right w:val="none" w:sz="0" w:space="0" w:color="auto"/>
                      </w:divBdr>
                      <w:divsChild>
                        <w:div w:id="10812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kimyz</cp:lastModifiedBy>
  <cp:revision>4</cp:revision>
  <dcterms:created xsi:type="dcterms:W3CDTF">2016-08-14T22:49:00Z</dcterms:created>
  <dcterms:modified xsi:type="dcterms:W3CDTF">2016-08-14T23:26:00Z</dcterms:modified>
</cp:coreProperties>
</file>