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62022C" w:rsidRDefault="00674340" w:rsidP="00674340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[</w:t>
      </w:r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재경조찬</w:t>
      </w:r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]</w:t>
      </w:r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2</w:t>
      </w:r>
      <w:r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01</w:t>
      </w:r>
      <w:r>
        <w:rPr>
          <w:rFonts w:ascii="굴림" w:hAnsi="굴림" w:hint="eastAsia"/>
          <w:b/>
          <w:color w:val="333333"/>
          <w:spacing w:val="8"/>
          <w:sz w:val="40"/>
          <w:szCs w:val="40"/>
        </w:rPr>
        <w:t>9</w:t>
      </w:r>
      <w:r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.</w:t>
      </w:r>
      <w:r w:rsidR="00651719">
        <w:rPr>
          <w:rFonts w:ascii="굴림" w:hAnsi="굴림" w:hint="eastAsia"/>
          <w:b/>
          <w:color w:val="333333"/>
          <w:spacing w:val="8"/>
          <w:sz w:val="40"/>
          <w:szCs w:val="40"/>
        </w:rPr>
        <w:t>2</w:t>
      </w:r>
      <w:r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.</w:t>
      </w:r>
      <w:r w:rsidR="007A50B6">
        <w:rPr>
          <w:rFonts w:ascii="굴림" w:hAnsi="굴림" w:hint="eastAsia"/>
          <w:b/>
          <w:color w:val="333333"/>
          <w:spacing w:val="8"/>
          <w:sz w:val="40"/>
          <w:szCs w:val="40"/>
        </w:rPr>
        <w:t>25</w:t>
      </w:r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62022C" w:rsidRDefault="00674340" w:rsidP="00674340">
      <w:pPr>
        <w:spacing w:line="360" w:lineRule="auto"/>
        <w:rPr>
          <w:rFonts w:asciiTheme="minorEastAsia" w:hAnsiTheme="minorEastAsia"/>
          <w:szCs w:val="21"/>
        </w:rPr>
      </w:pPr>
    </w:p>
    <w:p w:rsidR="00674340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Theme="minorEastAsia" w:hAnsi="굴림" w:cs="Helvetica"/>
          <w:color w:val="00B050"/>
          <w:spacing w:val="8"/>
          <w:sz w:val="21"/>
          <w:szCs w:val="21"/>
        </w:rPr>
      </w:pPr>
      <w:r w:rsidRPr="005440D8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272B7C" w:rsidRDefault="007A50B6" w:rsidP="00E0316D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신화통신 : </w:t>
      </w:r>
      <w:r w:rsidR="00E0316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중국</w:t>
      </w:r>
      <w:r w:rsidR="00261EE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건축과학연구</w:t>
      </w:r>
      <w:r w:rsidR="00575A03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원</w:t>
      </w:r>
      <w:r w:rsidR="00261EE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관계자, '</w:t>
      </w:r>
      <w:r w:rsidR="004D6CB1" w:rsidRPr="00272B7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주택</w:t>
      </w:r>
      <w:r w:rsidR="003260BB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거래는</w:t>
      </w:r>
      <w:r w:rsidR="004D6CB1" w:rsidRPr="00272B7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전용면적</w:t>
      </w:r>
      <w:r w:rsidR="00272B7C" w:rsidRPr="00272B7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을</w:t>
      </w:r>
      <w:r w:rsidR="004D6CB1" w:rsidRPr="00272B7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272B7C" w:rsidRPr="00272B7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기준으로</w:t>
      </w:r>
      <w:r w:rsidR="004D6CB1" w:rsidRPr="00272B7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거래해야 한다</w:t>
      </w:r>
      <w:r w:rsidR="00261EED" w:rsidRPr="00272B7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'</w:t>
      </w:r>
      <w:r w:rsidR="004D6CB1" w:rsidRPr="00272B7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는 조항을 제안한 목적은 </w:t>
      </w:r>
      <w:r w:rsidR="005676A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기술</w:t>
      </w:r>
      <w:r w:rsidR="004D6CB1" w:rsidRPr="00272B7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적으로 주택 면적 계산규칙을 규범화하기 위한 것.</w:t>
      </w:r>
      <w:r w:rsidR="004D6CB1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5676A2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중국</w:t>
      </w:r>
      <w:r w:rsidR="004D6CB1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공사건설 </w:t>
      </w:r>
      <w:r w:rsidR="005676A2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표준의</w:t>
      </w:r>
      <w:r w:rsidR="004D6CB1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국제 관행 합치성을 제고시</w:t>
      </w:r>
      <w:r w:rsidR="00272B7C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키기 위하여 의견수렴안에 주택 거래 시 전용면적을 기준으로 계산하는 제도 도입.</w:t>
      </w:r>
    </w:p>
    <w:p w:rsidR="007A50B6" w:rsidRDefault="00272B7C" w:rsidP="00E0316D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spacing w:val="8"/>
          <w:sz w:val="21"/>
          <w:szCs w:val="21"/>
          <w:lang w:eastAsia="ko-KR"/>
        </w:rPr>
      </w:pPr>
      <w:r w:rsidRPr="00F30A7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하이퉁(海通)증권 쉰위건(荀玉根) :</w:t>
      </w:r>
      <w:r w:rsidRPr="00F30A7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2014년 연말부터 2015년 상반기까지</w:t>
      </w:r>
      <w:r w:rsidR="005676A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F30A7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주가가 </w:t>
      </w:r>
      <w:r w:rsidR="005676A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폭등했던 </w:t>
      </w:r>
      <w:r w:rsidRPr="00F30A7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강세시장이</w:t>
      </w:r>
      <w:r w:rsidR="005676A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다시</w:t>
      </w:r>
      <w:r w:rsidRPr="00F30A7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나타날 가능성은 아주 낮음. </w:t>
      </w:r>
      <w:r w:rsidR="00A66257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가치주의 저평가·저배분율 우위가 뚜렷하지 않고 성</w:t>
      </w:r>
      <w:r w:rsidR="005676A2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장</w:t>
      </w:r>
      <w:r w:rsidR="00A66257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주의 </w:t>
      </w:r>
      <w:r w:rsidR="00F30A73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실적 </w:t>
      </w:r>
      <w:r w:rsidR="00A66257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버블화</w:t>
      </w:r>
      <w:r w:rsidR="00F30A73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가</w:t>
      </w:r>
      <w:r w:rsidR="00A66257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나타나지 않</w:t>
      </w:r>
      <w:r w:rsidR="005676A2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고 있으며</w:t>
      </w:r>
      <w:r w:rsidR="00A66257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거시적·미시적 유동성 또한 그때만큼 충족하지 못함. 가장 낙관적인 </w:t>
      </w:r>
      <w:r w:rsidR="005676A2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전망은</w:t>
      </w:r>
      <w:r w:rsidR="00A66257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2005년 하반기</w:t>
      </w:r>
      <w:r w:rsidR="00F30A73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때처럼</w:t>
      </w:r>
      <w:r w:rsidR="00A66257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두</w:t>
      </w:r>
      <w:r w:rsidR="00F30A73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A66257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걸음 전진했다가 한</w:t>
      </w:r>
      <w:r w:rsidR="00F30A73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A66257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걸음 후퇴하는</w:t>
      </w:r>
      <w:r w:rsidR="00F30A73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것.</w:t>
      </w:r>
    </w:p>
    <w:p w:rsidR="00D053D5" w:rsidRDefault="00F30A73" w:rsidP="00E0316D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spacing w:val="8"/>
          <w:sz w:val="21"/>
          <w:szCs w:val="21"/>
          <w:lang w:eastAsia="ko-KR"/>
        </w:rPr>
      </w:pPr>
      <w:r w:rsidRPr="00A02008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웨이보(微博) :</w:t>
      </w:r>
      <w:r w:rsidR="00A02008" w:rsidRPr="00A02008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연예인의 웨이보(微博)</w:t>
      </w:r>
      <w:r w:rsidR="00A02008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메시지</w:t>
      </w:r>
      <w:r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A02008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재전송 횟수가 비정상적으로 높은 문제를 다룬 </w:t>
      </w:r>
      <w:r w:rsidR="00C2000B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중국</w:t>
      </w:r>
      <w:r w:rsidR="00A02008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중앙방송(CCTV)의 보도와 관련하여, </w:t>
      </w:r>
      <w:r w:rsidR="00A02008" w:rsidRPr="00D053D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법 위반 및 범죄 행위가 발생했을 가능성이 존재하며 지난해부터 공안기관에 제보하고 관련 증거자료를 제출해 왔다고 응답.</w:t>
      </w:r>
      <w:r w:rsidR="00A02008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재전송 데이터 조작은 주로 플러그인 소프트웨어를 통해 이뤄지고 있으며</w:t>
      </w:r>
      <w:r w:rsidR="00D053D5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, 과거에는 대량의 좀비계정을 만들어 데이터 조작에 사용했다면 지금은 정상적인 계정을 도용하는 방식으로</w:t>
      </w:r>
      <w:r w:rsidR="00C2000B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D053D5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바뀌었음.</w:t>
      </w:r>
    </w:p>
    <w:p w:rsidR="007A50B6" w:rsidRPr="007A50B6" w:rsidRDefault="00D053D5" w:rsidP="004A324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hAnsi="굴림"/>
          <w:color w:val="002060"/>
          <w:szCs w:val="21"/>
          <w:lang w:eastAsia="ko-KR"/>
        </w:rPr>
      </w:pPr>
      <w:r w:rsidRPr="004A324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재경조찬(財經早餐) : </w:t>
      </w:r>
      <w:r w:rsidRPr="004A324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화웨이, 5G 폴더블폰 '화웨이 메이트 X' 공개. </w:t>
      </w:r>
      <w:r w:rsidR="004A3240" w:rsidRPr="004A3240">
        <w:rPr>
          <w:rStyle w:val="a6"/>
          <w:rFonts w:ascii="굴림" w:eastAsia="굴림" w:hAnsi="굴림" w:cs="Helvetica"/>
          <w:b w:val="0"/>
          <w:spacing w:val="8"/>
          <w:sz w:val="21"/>
          <w:szCs w:val="21"/>
          <w:lang w:eastAsia="ko-KR"/>
        </w:rPr>
        <w:t>세계 최초의 7nm 5G 멀티-모드 모뎀 칩셋인 발롱 5000</w:t>
      </w:r>
      <w:r w:rsidR="004A32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+ 기린 980이 탑재되 있어 3초 안에 1G 크기의 영화를 내려받을 수 있음. 6월부터 정식 </w:t>
      </w:r>
      <w:r w:rsidR="00C2000B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발매</w:t>
      </w:r>
      <w:r w:rsidR="004A32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예정이며 판매가는 2,299유로(17,498위안).</w:t>
      </w:r>
      <w:r w:rsidR="004A3240" w:rsidRPr="007A50B6">
        <w:rPr>
          <w:rStyle w:val="a6"/>
          <w:rFonts w:ascii="굴림" w:hAnsi="굴림" w:hint="eastAsia"/>
          <w:color w:val="002060"/>
          <w:szCs w:val="21"/>
          <w:lang w:eastAsia="ko-KR"/>
        </w:rPr>
        <w:t xml:space="preserve"> </w:t>
      </w:r>
    </w:p>
    <w:p w:rsidR="007A50B6" w:rsidRPr="0023088C" w:rsidRDefault="007A50B6" w:rsidP="005203DF">
      <w:pPr>
        <w:wordWrap w:val="0"/>
        <w:topLinePunct/>
        <w:spacing w:line="360" w:lineRule="auto"/>
        <w:rPr>
          <w:rStyle w:val="a6"/>
          <w:rFonts w:ascii="굴림" w:hAnsi="굴림"/>
          <w:color w:val="002060"/>
          <w:szCs w:val="21"/>
          <w:lang w:eastAsia="ko-KR"/>
        </w:rPr>
      </w:pPr>
    </w:p>
    <w:p w:rsidR="00E11B30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E11B3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473846" w:rsidRPr="00BB5C92" w:rsidRDefault="004A3240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b w:val="0"/>
          <w:bCs w:val="0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신화통신</w:t>
      </w:r>
      <w:r w:rsidR="009C4349" w:rsidRPr="0035497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:</w:t>
      </w:r>
      <w:r w:rsidR="00980F5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BB5C9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금융업의 질적 발전을 촉진시켜야 함</w:t>
      </w:r>
      <w:r w:rsidR="00980F5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.</w:t>
      </w:r>
      <w:r w:rsidR="00BB5C9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BB5C92" w:rsidRPr="00BB5C9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금융 공급 개혁을 심화</w:t>
      </w:r>
      <w:r w:rsidR="00BB5C9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하여 다차원적·광범위적이고 차별화된 은행 체계를 구축하고 개성화·차별화</w:t>
      </w:r>
      <w:r w:rsidR="00BB5C9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lastRenderedPageBreak/>
        <w:t>된 맞춤제작형 금융상품을 개발하며 소형박리기업 및 '3농' 금융</w:t>
      </w:r>
      <w:r w:rsidR="00A7779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BB5C9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서비스를 개선해야 함. 전면적이고 다차원적이며 현대화 경제 시스템 </w:t>
      </w:r>
      <w:r w:rsidR="00A7779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구축 사업</w:t>
      </w:r>
      <w:r w:rsidR="00BB5C9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을 지원</w:t>
      </w:r>
      <w:r w:rsidR="00A7779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할 수 있</w:t>
      </w:r>
      <w:r w:rsidR="00BB5C9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는 금융 체계를 구축해야 함.</w:t>
      </w:r>
    </w:p>
    <w:p w:rsidR="00441764" w:rsidRDefault="00BB5C92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44176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중타이(中泰)증권 리쉰레이(李迅雷) : </w:t>
      </w:r>
      <w:r w:rsidRPr="004417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'금융 공급 개혁'이 주식시장에 악재로 작용</w:t>
      </w:r>
      <w:r w:rsidR="00441764" w:rsidRPr="004417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한다</w:t>
      </w:r>
      <w:r w:rsidR="004417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는</w:t>
      </w:r>
      <w:r w:rsidR="00441764" w:rsidRPr="004417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관점은 기계적인 이해.</w:t>
      </w:r>
      <w:r w:rsidR="00441764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실물경제가 과잉생산 압박에 직면했을 때 과잉새산능력을 해소하고 재고를 소진해야 하지만 금융은 실물경제와 다름. 금융</w:t>
      </w:r>
      <w:r w:rsidR="00A7779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441764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자산의 가격 상승은 디레버리지에 유리하지만 소비재의 재고 소진은 통상적으로 가격 인하를 통해 이뤄짐.</w:t>
      </w:r>
    </w:p>
    <w:p w:rsidR="00441764" w:rsidRDefault="00441764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44176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인민일보(人民日報) :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Pr="004417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성(省)·시(市)·현(縣) 3급 세무부서 모두 감세강비(減稅降費: 세금 감면 및 행정성 비용 인하)지도소조를 설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립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하였으며 소형박리기업의 성장을 지원하기 위한 '1+4' 재정·세무 문건과 징수관리 </w:t>
      </w:r>
      <w:r w:rsidR="00A7779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정책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출범. 31개 성·자치구·직할시도 연이어 지방세 세종 감면 정책 발표.</w:t>
      </w:r>
    </w:p>
    <w:p w:rsidR="0070072A" w:rsidRDefault="00441764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70072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중신징웨이(中新經緯) : 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중</w:t>
      </w:r>
      <w:r w:rsidR="00575A0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국재정과학연구원 원장 류상시(劉尙希), </w:t>
      </w:r>
      <w:r w:rsidR="00575A03" w:rsidRPr="0070072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정부와 민간자본의 </w:t>
      </w:r>
      <w:r w:rsidR="0070072A" w:rsidRPr="0070072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제휴사업을 무조건 부정</w:t>
      </w:r>
      <w:r w:rsidR="0070072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하</w:t>
      </w:r>
      <w:r w:rsidR="0070072A" w:rsidRPr="0070072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는 경향 존재.</w:t>
      </w:r>
      <w:r w:rsidR="0070072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'채권을 투자로 가장', 옥석혼효 등 문제점이 존재하는 것은 사실이지만 전면적으로 부정하여서는 아니됨. 성과는 인정하고 문제점은 시정하며 준법적으로 발전하도록 격려해야 함.</w:t>
      </w:r>
    </w:p>
    <w:p w:rsidR="00CD659D" w:rsidRPr="00CD659D" w:rsidRDefault="0070072A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CD659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상하이증권보(上海證券報) : </w:t>
      </w:r>
      <w:r w:rsidR="00004A33" w:rsidRPr="00004A3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지난 </w:t>
      </w:r>
      <w:r w:rsidR="00CD659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1월, </w:t>
      </w:r>
      <w:r w:rsidR="00004A3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신규 증가한 </w:t>
      </w:r>
      <w:r w:rsidR="00CD659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신용대출 규모는 3,23억위안으로 최대 월 증가폭 기록. 새로 증가한 신용대출 중 일부가 실물경제 이외의 기타 분야로 유입되었다는 목소리도 존재. </w:t>
      </w:r>
      <w:r w:rsidR="00CD659D" w:rsidRPr="00CD659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국유 대형 상업은행의 신용대출 방출 방향은</w:t>
      </w:r>
      <w:r w:rsidR="00A7779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전체</w:t>
      </w:r>
      <w:r w:rsidR="00CD659D" w:rsidRPr="00CD659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은행업의 신용대출 방출 방향 반영.</w:t>
      </w:r>
    </w:p>
    <w:p w:rsidR="00BB5C92" w:rsidRDefault="00CD659D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CD659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중공중앙·국무원 :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Pr="00CD659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&lt;지방 당·정부 지도간부의 식품안전 책임제에 관한 규정&gt; 인쇄발부.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지방 각 급 </w:t>
      </w:r>
      <w:r w:rsidR="00A7779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당위원회 및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정부에 식품안전 보장 계획을 실행하고 중점 분야의 진행 </w:t>
      </w:r>
      <w:r w:rsidR="00A7779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상황에 대해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추적 및 감독할 것을 요구하였으며, 순시·순찰 계획과 결부시켜 지방 당·정부 간부의 식품안전 책임 이행 상황을 검사할 것을 지방 각 급 당위원회에 요구.</w:t>
      </w:r>
    </w:p>
    <w:p w:rsidR="00CD659D" w:rsidRDefault="00CD659D" w:rsidP="00CD659D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CD659D" w:rsidRPr="00CD659D" w:rsidRDefault="00CD659D" w:rsidP="00CD659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CD659D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A77DBD" w:rsidRDefault="00004A33" w:rsidP="00CD659D">
      <w:pPr>
        <w:pStyle w:val="a7"/>
        <w:numPr>
          <w:ilvl w:val="0"/>
          <w:numId w:val="4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A77DB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신화통신 :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지난 1월, 난징(南京)시의 주택 분양가격이 전월대비 0.8% 상승했고 전년동기대비 1.7% 증가. </w:t>
      </w:r>
      <w:r w:rsidRPr="00A77DB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올해 난징</w:t>
      </w:r>
      <w:r w:rsidR="00AC5276" w:rsidRPr="00A77DB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(南京)시</w:t>
      </w:r>
      <w:r w:rsidR="00A77DBD" w:rsidRPr="00A77DB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="00AC5276" w:rsidRPr="00A77DB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A77DBD" w:rsidRPr="00A77DB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분양계획 단지는 </w:t>
      </w:r>
      <w:r w:rsidR="00A77DBD" w:rsidRPr="00A77DB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lastRenderedPageBreak/>
        <w:t>196개이며 그 중 96개가 순수 신축 단지임.</w:t>
      </w:r>
      <w:r w:rsidR="00A77DB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업계 관계자들은 2016년, 2017년에 고가로 낙찰된 토지</w:t>
      </w:r>
      <w:r w:rsidR="00707AF8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를 기반으로</w:t>
      </w:r>
      <w:r w:rsidR="00A77DB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건설된 주택 단지도 올해에 분양을 개시할 것으로 보고 있음. 가격의 영향을 받아 실제 출시량은 많이 줄어들 전망.</w:t>
      </w:r>
    </w:p>
    <w:p w:rsidR="00A77DBD" w:rsidRDefault="00A77DBD" w:rsidP="00A77DBD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A77DBD" w:rsidRPr="00A77DBD" w:rsidRDefault="00A77DBD" w:rsidP="00A77DB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A77DBD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CD659D" w:rsidRPr="00003F12" w:rsidRDefault="00CB0EE6" w:rsidP="00A77DBD">
      <w:pPr>
        <w:pStyle w:val="a7"/>
        <w:numPr>
          <w:ilvl w:val="0"/>
          <w:numId w:val="4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003F1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하이퉁(海通)증권 쟝차오(姜超) :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양적완화 시대에 부를 늘리는 가장 중요한 수단이 부동산 투자였다면, 통화정책 방향이 긴축으로 선회하고 </w:t>
      </w:r>
      <w:r w:rsidRPr="00CB0EE6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감세강비(減稅降費: 세금 감면 및 행정성 비용 인하)</w:t>
      </w:r>
      <w:r w:rsidR="00707AF8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가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707AF8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이뤄지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며 직접적 융자를 발전시키는 경우 저금리 시</w:t>
      </w:r>
      <w:r w:rsidR="00003F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대로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진입할 가능성이 </w:t>
      </w:r>
      <w:r w:rsidR="00707AF8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존재하고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003F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증시의 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저평가된 가치가 정상</w:t>
      </w:r>
      <w:r w:rsidR="00707AF8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적인 수준으로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회복되면서 </w:t>
      </w:r>
      <w:r w:rsidRPr="00003F1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자본시장이 부동산을 </w:t>
      </w:r>
      <w:r w:rsidR="00003F12" w:rsidRPr="00003F1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제치고</w:t>
      </w:r>
      <w:r w:rsidRPr="00003F1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부를 늘리는 주요 수단으로 부상할 것.</w:t>
      </w:r>
    </w:p>
    <w:p w:rsidR="00003F12" w:rsidRDefault="00003F12" w:rsidP="00003F12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003F12" w:rsidRPr="00003F12" w:rsidRDefault="008E300A" w:rsidP="00003F12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003F12" w:rsidRPr="00003F12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관찰</w:t>
      </w:r>
    </w:p>
    <w:p w:rsidR="00CB114A" w:rsidRDefault="00CB114A" w:rsidP="00003F12">
      <w:pPr>
        <w:pStyle w:val="a7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CB114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제일재경(第一財經) : </w:t>
      </w:r>
      <w:r w:rsidRPr="00CB114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푸젠(福建)에서 올해 첫번째 원자력 발전 프로젝트 가동 예정.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2019년부터 2020년까지, 중국 전역에 발전용량 100만킬로와트의 발전유닛을 30대 설치할 </w:t>
      </w:r>
      <w:r w:rsidR="00707AF8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계획으로 향후에도 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여러개의 프로젝트가 가동될 전망.</w:t>
      </w:r>
    </w:p>
    <w:p w:rsidR="00D3473C" w:rsidRPr="007C2A08" w:rsidRDefault="00CB114A" w:rsidP="00003F12">
      <w:pPr>
        <w:pStyle w:val="a7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D3473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경제관찰망(經濟觀察網) : </w:t>
      </w:r>
      <w:r w:rsidR="00D3473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계약을 체결한 가정을 위해 예약 문진 서비스를 제공하는 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가정의는 분급진료제를 추진하고 '문병난' 문제</w:t>
      </w:r>
      <w:r w:rsidR="00D3473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를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해결</w:t>
      </w:r>
      <w:r w:rsidR="00D3473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하는데 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있어</w:t>
      </w:r>
      <w:r w:rsidR="00707AF8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서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핵심적인</w:t>
      </w:r>
      <w:r w:rsidR="00D3473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부분</w:t>
      </w:r>
      <w:r w:rsidR="00707AF8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임</w:t>
      </w:r>
      <w:r w:rsidR="00D3473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. </w:t>
      </w:r>
      <w:r w:rsidR="00D3473C" w:rsidRP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2016년의 시범사업을 </w:t>
      </w:r>
      <w:r w:rsidR="00707AF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거쳐</w:t>
      </w:r>
      <w:r w:rsidR="00D3473C" w:rsidRP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2017년에 확립된 가정의가 2018년부터 중국 각 지의 농촌 지역에서</w:t>
      </w:r>
      <w:r w:rsidR="00707AF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보다 많이</w:t>
      </w:r>
      <w:r w:rsidR="00D3473C" w:rsidRP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나타나고 있음.</w:t>
      </w:r>
    </w:p>
    <w:p w:rsidR="00D3473C" w:rsidRDefault="00D3473C" w:rsidP="00003F12">
      <w:pPr>
        <w:pStyle w:val="a7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D3473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신경보(新京報) :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중영디지털영화발전(북경)유한회사, 영화 &lt;유랑지구&gt; 상영기간을 2019년 5월 5일까지 연장하기로 결정. 전문가들은 비록 &lt;유랑지구의&gt; 상영기간이 연장되었지만 </w:t>
      </w:r>
      <w:r w:rsidRP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방영율 및 예매율</w:t>
      </w:r>
      <w:r w:rsid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P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지속적</w:t>
      </w:r>
      <w:r w:rsid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인</w:t>
      </w:r>
      <w:r w:rsidRP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하락</w:t>
      </w:r>
      <w:r w:rsid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으로</w:t>
      </w:r>
      <w:r w:rsidRP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&lt;전랑2&gt;를 초월하</w:t>
      </w:r>
      <w:r w:rsid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 못할</w:t>
      </w:r>
      <w:r w:rsidRP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것으로 </w:t>
      </w:r>
      <w:r w:rsid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예상하고 있음</w:t>
      </w:r>
      <w:r w:rsidRPr="007C2A0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997729" w:rsidRDefault="005F4247" w:rsidP="00003F12">
      <w:pPr>
        <w:pStyle w:val="a7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99772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농업농촌부 : 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중국동물전염병예방통제센터로부터 보고받은 바에 따르면, 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중국동물위생및유행병학센터에 의해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Pr="0099772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바오딩(保定)시 쉬수이(徐水)구 모 양돈장에 아프리카 돼지열병</w:t>
      </w:r>
      <w:r w:rsidR="00997729" w:rsidRPr="0099772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r w:rsidRPr="0099772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발생</w:t>
      </w:r>
      <w:r w:rsidR="00997729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한 것으로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확인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됨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.</w:t>
      </w:r>
      <w:r w:rsidR="00997729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이 양돈장의 사육 두수는 5,600마리이며 이미 사망 사례 발생. </w:t>
      </w:r>
    </w:p>
    <w:p w:rsidR="00997729" w:rsidRPr="00422295" w:rsidRDefault="00997729" w:rsidP="00003F12">
      <w:pPr>
        <w:pStyle w:val="a7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76735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MySteel :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최근 철강재 가격이 동계비축원가 수준에 근접해 있고 일부 철</w:t>
      </w:r>
      <w:r w:rsidR="0042229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강재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공장이 출고가격을 소폭 인상하면서 상가의 저가판매 의욕이 부진하</w:t>
      </w:r>
      <w:r w:rsidR="0042229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며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원가 지탱</w:t>
      </w:r>
      <w:r w:rsidR="003227EE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력도</w:t>
      </w:r>
      <w:r w:rsidR="0042229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강한 편임</w:t>
      </w:r>
      <w:r w:rsidR="003227EE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42229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철강재공장의 생산 적극성 저조로 생산량이 늘어날 기미가 보이지 않고 있으며, 정월대보름 이후 하류 부문의 조업 </w:t>
      </w:r>
      <w:r w:rsidR="003227EE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재개</w:t>
      </w:r>
      <w:r w:rsidR="00422295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로 수요가 지속적으로 회복될 것으로 보임. 따라서, </w:t>
      </w:r>
      <w:r w:rsidR="00422295" w:rsidRPr="0042229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단기적으로 철강재 가격이 요동 속에서 </w:t>
      </w:r>
      <w:r w:rsidR="0042229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약한 강세장</w:t>
      </w:r>
      <w:r w:rsidR="00422295" w:rsidRPr="0042229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을 유지할 것으로 전망.</w:t>
      </w:r>
    </w:p>
    <w:p w:rsidR="008E300A" w:rsidRPr="008E300A" w:rsidRDefault="00422295" w:rsidP="00003F12">
      <w:pPr>
        <w:pStyle w:val="a7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8E300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JIEMIAN.COM :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지난 2</w:t>
      </w:r>
      <w:r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3일 오전, 내몽고(</w:t>
      </w:r>
      <w:r w:rsidR="004B2EC7" w:rsidRPr="00057815">
        <w:rPr>
          <w:rStyle w:val="a6"/>
          <w:rFonts w:ascii="굴림" w:eastAsia="굴림" w:hAnsi="굴림" w:cs="Helvetica" w:hint="eastAsia"/>
          <w:b w:val="0"/>
          <w:szCs w:val="21"/>
          <w:lang w:eastAsia="ko-KR"/>
        </w:rPr>
        <w:t>内蒙古</w:t>
      </w:r>
      <w:r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)시린궈러멍(</w:t>
      </w:r>
      <w:r w:rsidRPr="00057815">
        <w:rPr>
          <w:rStyle w:val="a6"/>
          <w:rFonts w:ascii="굴림" w:eastAsia="굴림" w:hAnsi="굴림" w:cs="Helvetica" w:hint="eastAsia"/>
          <w:b w:val="0"/>
          <w:szCs w:val="21"/>
          <w:lang w:eastAsia="ko-KR"/>
        </w:rPr>
        <w:t>锡林郭勒盟</w:t>
      </w:r>
      <w:r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)시우치(</w:t>
      </w:r>
      <w:r w:rsidRPr="00057815">
        <w:rPr>
          <w:rStyle w:val="a6"/>
          <w:rFonts w:ascii="굴림" w:eastAsia="굴림" w:hAnsi="굴림" w:cs="Helvetica" w:hint="eastAsia"/>
          <w:b w:val="0"/>
          <w:szCs w:val="21"/>
          <w:lang w:eastAsia="ko-KR"/>
        </w:rPr>
        <w:t>西乌旗</w:t>
      </w:r>
      <w:r w:rsidR="004B2EC7"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)</w:t>
      </w:r>
      <w:r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광업</w:t>
      </w:r>
      <w:r w:rsidR="004B2EC7"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공사</w:t>
      </w:r>
      <w:r w:rsidR="008E300A"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의 운송 사고 발생 후 많은 무역상인들이 사고 발생 당일부터 석탄 운송에 적극적으로 참여하고 있음. 업계 관계자들은 위린(</w:t>
      </w:r>
      <w:r w:rsidR="008E300A" w:rsidRPr="00057815">
        <w:rPr>
          <w:rStyle w:val="a6"/>
          <w:rFonts w:ascii="굴림" w:eastAsia="굴림" w:hAnsi="굴림" w:cs="Helvetica" w:hint="eastAsia"/>
          <w:b w:val="0"/>
          <w:szCs w:val="21"/>
          <w:lang w:eastAsia="ko-KR"/>
        </w:rPr>
        <w:t>榆林</w:t>
      </w:r>
      <w:r w:rsidR="008E300A"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)탄광 사고 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발생 </w:t>
      </w:r>
      <w:r w:rsidR="008E300A"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후 생산이 완전히 재개되지 않은 상태에서 </w:t>
      </w:r>
      <w:r w:rsidR="008E300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광물업 관련 사고가 재발생하여 앞으로 내몽고 지역에서 금속광·탄광 등에 대한 안전검사 수위가 강화될 것으로 보이며 </w:t>
      </w:r>
      <w:r w:rsidR="008E300A" w:rsidRPr="008E300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위린(</w:t>
      </w:r>
      <w:r w:rsidR="008E300A" w:rsidRPr="008E300A">
        <w:rPr>
          <w:rFonts w:ascii="Microsoft YaHei" w:eastAsia="Microsoft YaHei" w:hAnsi="Microsoft YaHei" w:hint="eastAsia"/>
          <w:color w:val="C00000"/>
          <w:spacing w:val="8"/>
          <w:sz w:val="18"/>
          <w:szCs w:val="18"/>
          <w:lang w:eastAsia="ko-KR"/>
        </w:rPr>
        <w:t>榆林</w:t>
      </w:r>
      <w:r w:rsidR="008E300A" w:rsidRPr="008E300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) 지역 탄광의 생산 재개 속도가 늦어지고 석탄 가격이 오를 것으로 전망.</w:t>
      </w:r>
    </w:p>
    <w:p w:rsidR="008E300A" w:rsidRDefault="008E300A" w:rsidP="008E300A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8E300A" w:rsidRPr="008E300A" w:rsidRDefault="008E300A" w:rsidP="008E300A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8E300A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테이터</w:t>
      </w:r>
    </w:p>
    <w:p w:rsidR="00422295" w:rsidRDefault="008E300A" w:rsidP="008E300A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CB114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제일재경(第一財經) : </w:t>
      </w:r>
      <w:r w:rsidRPr="008E300A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저장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(浙江), 광둥(廣東) 등 10개 성의 은행업 자산 품질이</w:t>
      </w:r>
      <w:r w:rsidR="00057815"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중</w:t>
      </w:r>
      <w:r w:rsidR="00057815" w:rsidRP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국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은행업의 전반적인 모습과</w:t>
      </w:r>
      <w:r w:rsid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는 다른 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흐름</w:t>
      </w:r>
      <w:r w:rsid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을 보이고 있음. 2018년 연말을 기준으로 저장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(浙江)</w:t>
      </w:r>
      <w:r w:rsid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 광둥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(廣東)</w:t>
      </w:r>
      <w:r w:rsid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 장수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(江蘇)</w:t>
      </w:r>
      <w:r w:rsid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 지린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(吉林)</w:t>
      </w:r>
      <w:r w:rsid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 헤이룽쟝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(黑龍江)</w:t>
      </w:r>
      <w:r w:rsid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, 구이저우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(貴州)</w:t>
      </w:r>
      <w:r w:rsid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등 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지역에서</w:t>
      </w:r>
      <w:r w:rsidR="00057815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은행업 부실채권이 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줄어드는 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모습이</w:t>
      </w:r>
      <w:r w:rsidR="00B7311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보였으며 그중에서 </w:t>
      </w:r>
      <w:r w:rsidR="00B73112" w:rsidRPr="00B7311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저장(浙江), 구이저우(貴州) 등 4개 </w:t>
      </w:r>
      <w:r w:rsidR="003227E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성은</w:t>
      </w:r>
      <w:r w:rsidR="00B73112" w:rsidRPr="00B7311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부실대출 잔고가 13% </w:t>
      </w:r>
      <w:r w:rsidR="00B7311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이상</w:t>
      </w:r>
      <w:r w:rsidR="00B73112" w:rsidRPr="00B7311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줄어들었음.</w:t>
      </w:r>
    </w:p>
    <w:p w:rsidR="00B73112" w:rsidRDefault="009774C4" w:rsidP="008E300A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2160E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광둥(廣東)성 둥관(東莞)시 인력자원사회보장국 : </w:t>
      </w:r>
      <w:r w:rsidR="002160E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2월 22일 기준, </w:t>
      </w:r>
      <w:r w:rsidR="002160E0" w:rsidRPr="002160E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둥관(東莞)시 </w:t>
      </w:r>
      <w:r w:rsidR="003227E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조업재개</w:t>
      </w:r>
      <w:r w:rsidR="002160E0" w:rsidRPr="002160E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율은 99.81%로 전면적 생산 재개 실현.</w:t>
      </w:r>
      <w:r w:rsidR="002160E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올해 둥관(東</w:t>
      </w:r>
      <w:r w:rsidR="002160E0" w:rsidRPr="009774C4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莞</w:t>
      </w:r>
      <w:r w:rsidR="002160E0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)시의 타지역 출신 노동자 직장복귀율은 96.8%로 전년동기대비 2포인트 증가.</w:t>
      </w:r>
    </w:p>
    <w:p w:rsidR="00A91FAB" w:rsidRDefault="005C4E6D" w:rsidP="008E300A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A91FA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화인지상(華印紙箱) :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950FB1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음력설 연휴 이후 폐지 </w:t>
      </w:r>
      <w:r w:rsidR="003C59BF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가격이 상승세 진입. 지난주, </w:t>
      </w:r>
      <w:r w:rsidR="003C59BF" w:rsidRPr="00A91F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국산폐지 가격 현저히 상승.</w:t>
      </w:r>
      <w:r w:rsidR="003C59BF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북부지역 3대 구룡기지(玖龍基地)가 국산폐지 톤당 가격 50위안 인상을 두번 실시하면서 인근지역 제지공장의 가격 인상도 이뤄졌으며 남</w:t>
      </w:r>
      <w:r w:rsidR="00A91FAB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부</w:t>
      </w:r>
      <w:r w:rsidR="003C59BF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지역</w:t>
      </w:r>
      <w:r w:rsidR="00A91FAB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의 제지공장도 국산폐지 가격 인상을 수차례 실시하였음.</w:t>
      </w:r>
    </w:p>
    <w:p w:rsidR="00126432" w:rsidRDefault="00A91FAB" w:rsidP="008E300A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12643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: 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'중국 문화 산업 제1 전시회'인 문화산업박람회 브랜드를 보유하고 있는 선전(</w:t>
      </w:r>
      <w:r>
        <w:rPr>
          <w:rFonts w:ascii="Microsoft YaHei" w:eastAsia="Microsoft YaHei" w:hAnsi="Microsoft YaHei" w:hint="eastAsia"/>
          <w:color w:val="000000"/>
          <w:spacing w:val="8"/>
          <w:sz w:val="18"/>
          <w:szCs w:val="18"/>
          <w:lang w:eastAsia="ko-KR"/>
        </w:rPr>
        <w:t>深圳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)에서 '문화+과학기술', '문화+금융', '문화+무역', '문화+</w:t>
      </w:r>
      <w:r w:rsidR="0012643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관광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'</w:t>
      </w:r>
      <w:r w:rsidR="0012643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등 신 업태가 급속도로 성장하고 있음. 2018년, </w:t>
      </w:r>
      <w:r w:rsidR="00126432" w:rsidRPr="001264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선전(</w:t>
      </w:r>
      <w:r w:rsidR="00126432" w:rsidRPr="00126432">
        <w:rPr>
          <w:rStyle w:val="a6"/>
          <w:rFonts w:ascii="굴림" w:eastAsia="굴림" w:hAnsi="굴림" w:cs="Helvetica" w:hint="eastAsia"/>
          <w:color w:val="C00000"/>
          <w:szCs w:val="21"/>
          <w:lang w:eastAsia="ko-KR"/>
        </w:rPr>
        <w:t>深圳</w:t>
      </w:r>
      <w:r w:rsidR="00126432" w:rsidRPr="001264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)시 문화창의 산업이 실현한 증가치는 2,621.77억위안으로 GDP에서 차지하는 비중</w:t>
      </w:r>
      <w:r w:rsidR="003227E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은</w:t>
      </w:r>
      <w:r w:rsidR="00126432" w:rsidRPr="001264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10% 초과</w:t>
      </w:r>
      <w:r w:rsidR="0012643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.</w:t>
      </w:r>
    </w:p>
    <w:p w:rsidR="00126432" w:rsidRDefault="00126432" w:rsidP="008E300A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12643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광시일보(廣西日報) : 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광시(廣西)성은 1차, 2차, 3차 산업의 심층 융합을 촉진시키는 일련을 조치를 통해 2020년까지 주요 농산물 초가공 전화율을 68% 이상으로 제고시키고 </w:t>
      </w:r>
      <w:r w:rsidRPr="0012643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규모이상 농산물가공업의 주영업활동수입을 7,700억으로 확대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하며 연간 성장율을 10% 이상으로 끌어올릴 계획.</w:t>
      </w:r>
    </w:p>
    <w:p w:rsidR="00697EE1" w:rsidRDefault="00126432" w:rsidP="008E300A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697EE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환구망(環球網) :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외부회계감사법인 PwC와 시장조사업체 Kantar가 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공동 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실시한 조사에서 </w:t>
      </w:r>
      <w:r w:rsidR="00697EE1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독일 기업 중 인공지능(AI)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을</w:t>
      </w:r>
      <w:r w:rsidR="00697EE1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사용 중인 업체가 4%에 불과하며, 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독일</w:t>
      </w:r>
      <w:r w:rsidR="00697EE1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기업인 중 48%가 본인이 관리하고 있는 기업이 AI과는 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아무런</w:t>
      </w:r>
      <w:r w:rsidR="00697EE1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관련이 없다고 답한 것으로 나타났음. PwC는 </w:t>
      </w:r>
      <w:r w:rsidR="00697EE1" w:rsidRPr="00697EE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'인공지능 의식' 박약으로 독일 기업들이 미래에 경쟁력을 점차 잃게 될 것</w:t>
      </w:r>
      <w:r w:rsidR="00697EE1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이라고 지적.</w:t>
      </w:r>
    </w:p>
    <w:p w:rsidR="00697EE1" w:rsidRDefault="00697EE1" w:rsidP="00697EE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</w:p>
    <w:p w:rsidR="00697EE1" w:rsidRPr="00697EE1" w:rsidRDefault="00697EE1" w:rsidP="00697EE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697EE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 뉴스</w:t>
      </w:r>
    </w:p>
    <w:p w:rsidR="00A23FC6" w:rsidRDefault="00697EE1" w:rsidP="00697EE1">
      <w:pPr>
        <w:pStyle w:val="a7"/>
        <w:numPr>
          <w:ilvl w:val="0"/>
          <w:numId w:val="4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spacing w:val="8"/>
          <w:szCs w:val="21"/>
          <w:lang w:eastAsia="ko-KR"/>
        </w:rPr>
      </w:pPr>
      <w:r w:rsidRPr="00697EE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36氪</w:t>
      </w:r>
      <w:r w:rsidRPr="00A23FC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: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Pr="00A23FC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애플이 올해 상반기에 에어파워(AirPower)를 </w:t>
      </w:r>
      <w:r w:rsidR="00A23FC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발매</w:t>
      </w:r>
      <w:r w:rsidRPr="00A23FC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할 것으로 예상.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A23FC6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지난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1월 </w:t>
      </w:r>
      <w:r w:rsidR="00A23FC6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초에 충전 관련 전문 IT 블로그 차저랩(</w:t>
      </w:r>
      <w:r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ChargerLab</w:t>
      </w:r>
      <w:r w:rsidR="00A23FC6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)은 공식 트위터에 애플이 에어파워 양산을 개시한다고 전한</w:t>
      </w:r>
      <w:r w:rsidR="003227EE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바가 있음</w:t>
      </w:r>
      <w:r w:rsidR="00A23FC6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.</w:t>
      </w:r>
    </w:p>
    <w:p w:rsidR="004A3240" w:rsidRDefault="004A3240" w:rsidP="00B30933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</w:p>
    <w:p w:rsidR="00B30933" w:rsidRPr="00B30933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B30933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A23FC6" w:rsidRPr="00B30933" w:rsidRDefault="00A23FC6" w:rsidP="00A23FC6">
      <w:pPr>
        <w:pStyle w:val="a7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5147D4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신삼판(新三板) : 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지난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>주(</w:t>
      </w:r>
      <w:r w:rsidR="001D3DCA">
        <w:rPr>
          <w:rStyle w:val="a6"/>
          <w:rFonts w:ascii="굴림" w:eastAsia="굴림" w:hAnsi="굴림" w:hint="eastAsia"/>
          <w:b w:val="0"/>
          <w:szCs w:val="21"/>
          <w:lang w:eastAsia="ko-KR"/>
        </w:rPr>
        <w:t>2.18~ 2.22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), </w:t>
      </w:r>
      <w:r w:rsidR="001D3DCA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신삼판 </w:t>
      </w:r>
      <w:r w:rsidRPr="005147D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등록기업 수</w:t>
      </w:r>
      <w:r w:rsidR="001D3DCA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23</w:t>
      </w:r>
      <w:r w:rsidRPr="005147D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개</w:t>
      </w:r>
      <w:r w:rsidR="001D3DCA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감소. </w:t>
      </w:r>
      <w:r w:rsidR="001D3DCA">
        <w:rPr>
          <w:rStyle w:val="a6"/>
          <w:rFonts w:ascii="굴림" w:eastAsia="굴림" w:hAnsi="굴림" w:hint="eastAsia"/>
          <w:b w:val="0"/>
          <w:szCs w:val="21"/>
          <w:lang w:eastAsia="ko-KR"/>
        </w:rPr>
        <w:t>현 시점을 기준으로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신삼판 등록기업 수는 10,</w:t>
      </w:r>
      <w:r w:rsidR="001D3DCA">
        <w:rPr>
          <w:rStyle w:val="a6"/>
          <w:rFonts w:ascii="굴림" w:eastAsia="굴림" w:hAnsi="굴림" w:hint="eastAsia"/>
          <w:b w:val="0"/>
          <w:szCs w:val="21"/>
          <w:lang w:eastAsia="ko-KR"/>
        </w:rPr>
        <w:t>466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>개.</w:t>
      </w:r>
    </w:p>
    <w:p w:rsidR="00B30933" w:rsidRPr="00B30933" w:rsidRDefault="00B30933" w:rsidP="00B30933">
      <w:pPr>
        <w:pStyle w:val="a7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B30933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지난주 금요일, 위안화 역외거래시장에서 미국 달러화 대비 위안화의 환율은 0.1</w:t>
      </w:r>
      <w:r w:rsidR="001D3DC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267</w:t>
      </w:r>
      <w:r w:rsidRPr="00B30933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하락한 </w:t>
      </w:r>
      <w:r w:rsidR="001D3DC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6.7186</w:t>
      </w:r>
      <w:r w:rsidRPr="00B30933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</w:t>
      </w:r>
      <w:r w:rsidRPr="00D446E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="001D3DCA" w:rsidRPr="001D3DCA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주간으로는 0.9085% 상승.</w:t>
      </w:r>
      <w:r w:rsidR="001D3DC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D446E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위안화 </w:t>
      </w:r>
      <w:r w:rsidRPr="00D446EA">
        <w:rPr>
          <w:rStyle w:val="a6"/>
          <w:rFonts w:ascii="굴림" w:eastAsia="굴림" w:hAnsi="굴림" w:hint="eastAsia"/>
          <w:b w:val="0"/>
          <w:bCs w:val="0"/>
          <w:spacing w:val="8"/>
          <w:szCs w:val="21"/>
          <w:lang w:eastAsia="ko-KR"/>
        </w:rPr>
        <w:t>중간가격</w:t>
      </w:r>
      <w:r w:rsidRPr="0046560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은</w:t>
      </w:r>
      <w:r w:rsidRPr="00D446E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0.</w:t>
      </w:r>
      <w:r w:rsidR="001D3DC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1026</w:t>
      </w:r>
      <w:r w:rsidRPr="00D446E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Pr="00D446E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한 6.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7</w:t>
      </w:r>
      <w:r w:rsidR="001D3DC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151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</w:t>
      </w:r>
      <w:r w:rsidR="001D3DC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기록</w:t>
      </w:r>
      <w:r w:rsidR="001D3DC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="001D3DCA" w:rsidRPr="001D3DCA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주간으로는 0.6980% 상승</w:t>
      </w:r>
      <w:r w:rsidRPr="001D3DCA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</w:p>
    <w:p w:rsidR="00B30933" w:rsidRPr="00A033DF" w:rsidRDefault="00B30933" w:rsidP="00B30933">
      <w:pPr>
        <w:pStyle w:val="a7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07588D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상하이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지분위탁거래센터</w:t>
      </w:r>
      <w:r w:rsidRPr="0007588D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: 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>N판(창업판) 223개, E판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450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개, Q판 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9,165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를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포함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하여 총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9,8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38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기업</w:t>
      </w:r>
      <w:r w:rsidR="004A3793">
        <w:rPr>
          <w:rStyle w:val="a6"/>
          <w:rFonts w:ascii="굴림" w:eastAsia="굴림" w:hAnsi="굴림" w:hint="eastAsia"/>
          <w:b w:val="0"/>
          <w:szCs w:val="21"/>
          <w:lang w:eastAsia="ko-KR"/>
        </w:rPr>
        <w:t>이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등록되어 있으며 </w:t>
      </w:r>
      <w:r w:rsidRPr="00D731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등록기업 수는 지난주</w:t>
      </w:r>
      <w:r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와 동일</w:t>
      </w:r>
      <w:r w:rsidRPr="00D731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</w:p>
    <w:p w:rsidR="00A23FC6" w:rsidRDefault="00A23FC6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Cs w:val="21"/>
        </w:rPr>
      </w:pPr>
    </w:p>
    <w:p w:rsidR="00A033DF" w:rsidRPr="00A033DF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A033DF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8E066A" w:rsidRPr="006A110F" w:rsidRDefault="008E066A" w:rsidP="008E066A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30609B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0.70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4A379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6031.81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마쳤고,</w:t>
      </w:r>
      <w:r w:rsidRPr="00D446E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6A110F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0.57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% 상승.</w:t>
      </w:r>
      <w:r w:rsidRPr="00D446E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지수는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0.64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B34A7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</w:t>
      </w:r>
      <w:r w:rsidR="0030609B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7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92.67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6A110F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0.62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30609B"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.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0609B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0.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9</w:t>
      </w:r>
      <w:r w:rsid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292B02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D7316C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7316C" w:rsidRPr="0030609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7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527.54</w:t>
      </w:r>
      <w:r w:rsidRPr="0030609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마감했고,</w:t>
      </w:r>
      <w:r w:rsidRPr="00D446E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주간으로는</w:t>
      </w:r>
      <w:r w:rsidR="0030609B"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</w:t>
      </w:r>
      <w:r w:rsidR="006A110F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0.74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% 상승.</w:t>
      </w:r>
    </w:p>
    <w:p w:rsidR="006B11BF" w:rsidRPr="006B11BF" w:rsidRDefault="008E066A" w:rsidP="006B11BF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7316C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4</w:t>
      </w: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금값은 전일대비 온스당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0.4</w:t>
      </w: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D7316C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 13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32.8</w:t>
      </w:r>
      <w:r w:rsidR="008068BF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</w:t>
      </w: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 마감했고</w:t>
      </w: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, </w:t>
      </w:r>
      <w:r w:rsidRPr="009420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6A110F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0.8</w:t>
      </w:r>
      <w:r w:rsidRPr="009420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8068BF" w:rsidRPr="009420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</w:t>
      </w:r>
      <w:r w:rsidRPr="009420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  <w:r w:rsidR="0030609B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</w:p>
    <w:p w:rsidR="0030609B" w:rsidRPr="006A110F" w:rsidRDefault="008E066A" w:rsidP="0030609B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Fonts w:ascii="굴림" w:eastAsia="굴림" w:hAnsi="굴림"/>
          <w:szCs w:val="21"/>
          <w:lang w:eastAsia="ko-KR"/>
        </w:rPr>
      </w:pP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4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전일대비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배럴당 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0.53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263483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7</w:t>
      </w:r>
      <w:r w:rsidR="00263483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26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6D5AEA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마감하면서 2018년 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1월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12일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이래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최고 마감가를 갱신했고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, </w:t>
      </w:r>
      <w:r w:rsidRP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6A110F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3</w:t>
      </w:r>
      <w:r w:rsidRP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8F6D94" w:rsidRP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상승.</w:t>
      </w:r>
      <w:r w:rsidR="0030609B" w:rsidRP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</w:t>
      </w:r>
      <w:r w:rsidR="0030609B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4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 또한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전일대비 배럴당 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0.07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263483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 6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7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12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마감하면서 2018녀 11월 12일 이래 최고 마감가를 갱신했으며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, </w:t>
      </w:r>
      <w:r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주간으로는</w:t>
      </w:r>
      <w:r w:rsidR="006A110F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1.3</w:t>
      </w:r>
      <w:r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8F6D94"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</w:t>
      </w:r>
      <w:r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  <w:r w:rsidR="0030609B" w:rsidRPr="00EF7443">
        <w:rPr>
          <w:rFonts w:ascii="굴림" w:eastAsia="굴림" w:hAnsi="굴림" w:hint="eastAsia"/>
          <w:color w:val="333333"/>
          <w:spacing w:val="8"/>
          <w:szCs w:val="21"/>
          <w:lang w:eastAsia="ko-KR"/>
        </w:rPr>
        <w:t xml:space="preserve"> </w:t>
      </w:r>
    </w:p>
    <w:sectPr w:rsidR="0030609B" w:rsidRPr="006A110F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DF" w:rsidRDefault="00BD12DF" w:rsidP="00674340">
      <w:r>
        <w:separator/>
      </w:r>
    </w:p>
  </w:endnote>
  <w:endnote w:type="continuationSeparator" w:id="0">
    <w:p w:rsidR="00BD12DF" w:rsidRDefault="00BD12DF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DF" w:rsidRDefault="00BD12DF" w:rsidP="00674340">
      <w:r>
        <w:separator/>
      </w:r>
    </w:p>
  </w:footnote>
  <w:footnote w:type="continuationSeparator" w:id="0">
    <w:p w:rsidR="00BD12DF" w:rsidRDefault="00BD12DF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A187D"/>
    <w:multiLevelType w:val="hybridMultilevel"/>
    <w:tmpl w:val="64F68B24"/>
    <w:lvl w:ilvl="0" w:tplc="5AD06B10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DD7233"/>
    <w:multiLevelType w:val="hybridMultilevel"/>
    <w:tmpl w:val="A6AECC4A"/>
    <w:lvl w:ilvl="0" w:tplc="F23222B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C4C56"/>
    <w:multiLevelType w:val="hybridMultilevel"/>
    <w:tmpl w:val="C98A4050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C352E2"/>
    <w:multiLevelType w:val="hybridMultilevel"/>
    <w:tmpl w:val="9552EF7A"/>
    <w:lvl w:ilvl="0" w:tplc="11A8C89A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EF5CE3"/>
    <w:multiLevelType w:val="hybridMultilevel"/>
    <w:tmpl w:val="A0EC177A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99519E"/>
    <w:multiLevelType w:val="hybridMultilevel"/>
    <w:tmpl w:val="4364E248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9C5595"/>
    <w:multiLevelType w:val="hybridMultilevel"/>
    <w:tmpl w:val="A32C60B8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0F5EDB"/>
    <w:multiLevelType w:val="hybridMultilevel"/>
    <w:tmpl w:val="E02C9E9C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FA122E"/>
    <w:multiLevelType w:val="hybridMultilevel"/>
    <w:tmpl w:val="301E69FA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C04BB4"/>
    <w:multiLevelType w:val="hybridMultilevel"/>
    <w:tmpl w:val="F168C0EA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FB26D8"/>
    <w:multiLevelType w:val="hybridMultilevel"/>
    <w:tmpl w:val="B67A17DE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AF618A"/>
    <w:multiLevelType w:val="hybridMultilevel"/>
    <w:tmpl w:val="F044E56A"/>
    <w:lvl w:ilvl="0" w:tplc="B470DB1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8A7755"/>
    <w:multiLevelType w:val="hybridMultilevel"/>
    <w:tmpl w:val="DDF223BC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FCD0603"/>
    <w:multiLevelType w:val="hybridMultilevel"/>
    <w:tmpl w:val="1B64123C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F305C6"/>
    <w:multiLevelType w:val="hybridMultilevel"/>
    <w:tmpl w:val="7C2AE5AC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E84F71"/>
    <w:multiLevelType w:val="hybridMultilevel"/>
    <w:tmpl w:val="EC04EF34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4B76F1"/>
    <w:multiLevelType w:val="hybridMultilevel"/>
    <w:tmpl w:val="B09A8C7C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8CF18D3"/>
    <w:multiLevelType w:val="hybridMultilevel"/>
    <w:tmpl w:val="C0C2681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9BB0584"/>
    <w:multiLevelType w:val="hybridMultilevel"/>
    <w:tmpl w:val="E586033A"/>
    <w:lvl w:ilvl="0" w:tplc="056C4B18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FB7F70"/>
    <w:multiLevelType w:val="hybridMultilevel"/>
    <w:tmpl w:val="533230AE"/>
    <w:lvl w:ilvl="0" w:tplc="11A8C89A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BA27DB6"/>
    <w:multiLevelType w:val="hybridMultilevel"/>
    <w:tmpl w:val="F4AA9EEA"/>
    <w:lvl w:ilvl="0" w:tplc="147AF458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DBB6A43"/>
    <w:multiLevelType w:val="hybridMultilevel"/>
    <w:tmpl w:val="3A682EDC"/>
    <w:lvl w:ilvl="0" w:tplc="3E8011CE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F4204CB"/>
    <w:multiLevelType w:val="hybridMultilevel"/>
    <w:tmpl w:val="AD74BD5C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1B04312"/>
    <w:multiLevelType w:val="hybridMultilevel"/>
    <w:tmpl w:val="F3E6613C"/>
    <w:lvl w:ilvl="0" w:tplc="C9E2A142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0163E8"/>
    <w:multiLevelType w:val="hybridMultilevel"/>
    <w:tmpl w:val="032ACA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A5157FA"/>
    <w:multiLevelType w:val="hybridMultilevel"/>
    <w:tmpl w:val="EFD2DBBE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C187628"/>
    <w:multiLevelType w:val="hybridMultilevel"/>
    <w:tmpl w:val="20CC7AA4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C437213"/>
    <w:multiLevelType w:val="hybridMultilevel"/>
    <w:tmpl w:val="FC1A100C"/>
    <w:lvl w:ilvl="0" w:tplc="FBB04D00">
      <w:start w:val="1"/>
      <w:numFmt w:val="decimal"/>
      <w:lvlText w:val="8.%1"/>
      <w:lvlJc w:val="left"/>
      <w:pPr>
        <w:ind w:left="704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15162C5"/>
    <w:multiLevelType w:val="hybridMultilevel"/>
    <w:tmpl w:val="C76615E0"/>
    <w:lvl w:ilvl="0" w:tplc="4ECC6C62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89530F"/>
    <w:multiLevelType w:val="hybridMultilevel"/>
    <w:tmpl w:val="643A76E8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0F1675"/>
    <w:multiLevelType w:val="hybridMultilevel"/>
    <w:tmpl w:val="0F2C6856"/>
    <w:lvl w:ilvl="0" w:tplc="B10A51C6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814B35"/>
    <w:multiLevelType w:val="hybridMultilevel"/>
    <w:tmpl w:val="A7A874F4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ABD5353"/>
    <w:multiLevelType w:val="hybridMultilevel"/>
    <w:tmpl w:val="981278EC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BA87EE4"/>
    <w:multiLevelType w:val="hybridMultilevel"/>
    <w:tmpl w:val="24E4A178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F7F5564"/>
    <w:multiLevelType w:val="hybridMultilevel"/>
    <w:tmpl w:val="EF2CEAE8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01604F5"/>
    <w:multiLevelType w:val="hybridMultilevel"/>
    <w:tmpl w:val="5552878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26172A3"/>
    <w:multiLevelType w:val="hybridMultilevel"/>
    <w:tmpl w:val="941EBA76"/>
    <w:lvl w:ilvl="0" w:tplc="B10A51C6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BD64A48"/>
    <w:multiLevelType w:val="hybridMultilevel"/>
    <w:tmpl w:val="DCB0D844"/>
    <w:lvl w:ilvl="0" w:tplc="686EB04A">
      <w:start w:val="1"/>
      <w:numFmt w:val="decimal"/>
      <w:lvlText w:val="5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EDE13D3"/>
    <w:multiLevelType w:val="hybridMultilevel"/>
    <w:tmpl w:val="C0C2681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0F11384"/>
    <w:multiLevelType w:val="hybridMultilevel"/>
    <w:tmpl w:val="108AF2A6"/>
    <w:lvl w:ilvl="0" w:tplc="056C4B18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3303C93"/>
    <w:multiLevelType w:val="hybridMultilevel"/>
    <w:tmpl w:val="ADF06A10"/>
    <w:lvl w:ilvl="0" w:tplc="6858715E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590614C"/>
    <w:multiLevelType w:val="hybridMultilevel"/>
    <w:tmpl w:val="10BA2EB0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557E13"/>
    <w:multiLevelType w:val="hybridMultilevel"/>
    <w:tmpl w:val="0B7AA008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93006DE"/>
    <w:multiLevelType w:val="hybridMultilevel"/>
    <w:tmpl w:val="317A77BC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A846F5D"/>
    <w:multiLevelType w:val="hybridMultilevel"/>
    <w:tmpl w:val="80220576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A9328AB"/>
    <w:multiLevelType w:val="hybridMultilevel"/>
    <w:tmpl w:val="66E6E2BC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0"/>
  </w:num>
  <w:num w:numId="3">
    <w:abstractNumId w:val="0"/>
  </w:num>
  <w:num w:numId="4">
    <w:abstractNumId w:val="37"/>
  </w:num>
  <w:num w:numId="5">
    <w:abstractNumId w:val="17"/>
  </w:num>
  <w:num w:numId="6">
    <w:abstractNumId w:val="24"/>
  </w:num>
  <w:num w:numId="7">
    <w:abstractNumId w:val="35"/>
  </w:num>
  <w:num w:numId="8">
    <w:abstractNumId w:val="47"/>
  </w:num>
  <w:num w:numId="9">
    <w:abstractNumId w:val="13"/>
  </w:num>
  <w:num w:numId="10">
    <w:abstractNumId w:val="12"/>
  </w:num>
  <w:num w:numId="11">
    <w:abstractNumId w:val="22"/>
  </w:num>
  <w:num w:numId="12">
    <w:abstractNumId w:val="28"/>
  </w:num>
  <w:num w:numId="13">
    <w:abstractNumId w:val="15"/>
  </w:num>
  <w:num w:numId="14">
    <w:abstractNumId w:val="8"/>
  </w:num>
  <w:num w:numId="15">
    <w:abstractNumId w:val="43"/>
  </w:num>
  <w:num w:numId="16">
    <w:abstractNumId w:val="39"/>
  </w:num>
  <w:num w:numId="17">
    <w:abstractNumId w:val="21"/>
  </w:num>
  <w:num w:numId="18">
    <w:abstractNumId w:val="36"/>
  </w:num>
  <w:num w:numId="19">
    <w:abstractNumId w:val="38"/>
  </w:num>
  <w:num w:numId="20">
    <w:abstractNumId w:val="46"/>
  </w:num>
  <w:num w:numId="21">
    <w:abstractNumId w:val="10"/>
  </w:num>
  <w:num w:numId="22">
    <w:abstractNumId w:val="14"/>
  </w:num>
  <w:num w:numId="23">
    <w:abstractNumId w:val="7"/>
  </w:num>
  <w:num w:numId="24">
    <w:abstractNumId w:val="3"/>
  </w:num>
  <w:num w:numId="25">
    <w:abstractNumId w:val="29"/>
  </w:num>
  <w:num w:numId="26">
    <w:abstractNumId w:val="45"/>
  </w:num>
  <w:num w:numId="27">
    <w:abstractNumId w:val="32"/>
  </w:num>
  <w:num w:numId="28">
    <w:abstractNumId w:val="6"/>
  </w:num>
  <w:num w:numId="29">
    <w:abstractNumId w:val="25"/>
  </w:num>
  <w:num w:numId="30">
    <w:abstractNumId w:val="20"/>
  </w:num>
  <w:num w:numId="31">
    <w:abstractNumId w:val="42"/>
  </w:num>
  <w:num w:numId="32">
    <w:abstractNumId w:val="34"/>
  </w:num>
  <w:num w:numId="33">
    <w:abstractNumId w:val="16"/>
  </w:num>
  <w:num w:numId="34">
    <w:abstractNumId w:val="26"/>
  </w:num>
  <w:num w:numId="35">
    <w:abstractNumId w:val="5"/>
  </w:num>
  <w:num w:numId="36">
    <w:abstractNumId w:val="48"/>
  </w:num>
  <w:num w:numId="37">
    <w:abstractNumId w:val="30"/>
  </w:num>
  <w:num w:numId="38">
    <w:abstractNumId w:val="31"/>
  </w:num>
  <w:num w:numId="39">
    <w:abstractNumId w:val="27"/>
  </w:num>
  <w:num w:numId="40">
    <w:abstractNumId w:val="9"/>
  </w:num>
  <w:num w:numId="41">
    <w:abstractNumId w:val="33"/>
  </w:num>
  <w:num w:numId="42">
    <w:abstractNumId w:val="11"/>
  </w:num>
  <w:num w:numId="43">
    <w:abstractNumId w:val="41"/>
  </w:num>
  <w:num w:numId="44">
    <w:abstractNumId w:val="18"/>
  </w:num>
  <w:num w:numId="45">
    <w:abstractNumId w:val="2"/>
  </w:num>
  <w:num w:numId="46">
    <w:abstractNumId w:val="44"/>
  </w:num>
  <w:num w:numId="47">
    <w:abstractNumId w:val="23"/>
  </w:num>
  <w:num w:numId="48">
    <w:abstractNumId w:val="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3F12"/>
    <w:rsid w:val="00004A33"/>
    <w:rsid w:val="00004B06"/>
    <w:rsid w:val="00012369"/>
    <w:rsid w:val="00017773"/>
    <w:rsid w:val="00021C22"/>
    <w:rsid w:val="00042776"/>
    <w:rsid w:val="0004508F"/>
    <w:rsid w:val="00045F30"/>
    <w:rsid w:val="00050DC9"/>
    <w:rsid w:val="00053E6A"/>
    <w:rsid w:val="00057815"/>
    <w:rsid w:val="00066FC1"/>
    <w:rsid w:val="000731AB"/>
    <w:rsid w:val="000733F5"/>
    <w:rsid w:val="00085E64"/>
    <w:rsid w:val="00092643"/>
    <w:rsid w:val="00092808"/>
    <w:rsid w:val="000967D5"/>
    <w:rsid w:val="000B2E05"/>
    <w:rsid w:val="000B6138"/>
    <w:rsid w:val="000C0CD0"/>
    <w:rsid w:val="000D3C93"/>
    <w:rsid w:val="000D5394"/>
    <w:rsid w:val="000D614A"/>
    <w:rsid w:val="000E16A4"/>
    <w:rsid w:val="000E1CA0"/>
    <w:rsid w:val="00102878"/>
    <w:rsid w:val="00103226"/>
    <w:rsid w:val="00103472"/>
    <w:rsid w:val="00106C17"/>
    <w:rsid w:val="0011346F"/>
    <w:rsid w:val="00115F3D"/>
    <w:rsid w:val="00126432"/>
    <w:rsid w:val="0013295A"/>
    <w:rsid w:val="00156FDD"/>
    <w:rsid w:val="001815E2"/>
    <w:rsid w:val="001861CC"/>
    <w:rsid w:val="001874A6"/>
    <w:rsid w:val="001936A4"/>
    <w:rsid w:val="001A5B9D"/>
    <w:rsid w:val="001B5BA0"/>
    <w:rsid w:val="001D3DCA"/>
    <w:rsid w:val="001E4F24"/>
    <w:rsid w:val="001E7CFF"/>
    <w:rsid w:val="001F62B1"/>
    <w:rsid w:val="002160E0"/>
    <w:rsid w:val="002238FA"/>
    <w:rsid w:val="00224905"/>
    <w:rsid w:val="0023088C"/>
    <w:rsid w:val="00240ECE"/>
    <w:rsid w:val="0024642E"/>
    <w:rsid w:val="0025720C"/>
    <w:rsid w:val="00261EED"/>
    <w:rsid w:val="00263483"/>
    <w:rsid w:val="00263A3F"/>
    <w:rsid w:val="00266003"/>
    <w:rsid w:val="002708E1"/>
    <w:rsid w:val="00272B7C"/>
    <w:rsid w:val="00292B02"/>
    <w:rsid w:val="002B277B"/>
    <w:rsid w:val="002B42F2"/>
    <w:rsid w:val="002C67B9"/>
    <w:rsid w:val="002E7E6A"/>
    <w:rsid w:val="002F2E12"/>
    <w:rsid w:val="002F3E1D"/>
    <w:rsid w:val="002F6140"/>
    <w:rsid w:val="003001AA"/>
    <w:rsid w:val="0030609B"/>
    <w:rsid w:val="003227EE"/>
    <w:rsid w:val="003260BB"/>
    <w:rsid w:val="003345A1"/>
    <w:rsid w:val="0034015A"/>
    <w:rsid w:val="00345919"/>
    <w:rsid w:val="00346B84"/>
    <w:rsid w:val="00354974"/>
    <w:rsid w:val="00361362"/>
    <w:rsid w:val="00363DEB"/>
    <w:rsid w:val="003A2E89"/>
    <w:rsid w:val="003A50D4"/>
    <w:rsid w:val="003B07B2"/>
    <w:rsid w:val="003B3556"/>
    <w:rsid w:val="003B48C7"/>
    <w:rsid w:val="003C1CFF"/>
    <w:rsid w:val="003C59BF"/>
    <w:rsid w:val="003D3046"/>
    <w:rsid w:val="003D6A2E"/>
    <w:rsid w:val="003D758C"/>
    <w:rsid w:val="003E07EA"/>
    <w:rsid w:val="003E18B9"/>
    <w:rsid w:val="003E4C74"/>
    <w:rsid w:val="003F1E3B"/>
    <w:rsid w:val="003F4339"/>
    <w:rsid w:val="003F5DF1"/>
    <w:rsid w:val="003F75B2"/>
    <w:rsid w:val="00404487"/>
    <w:rsid w:val="00404F6E"/>
    <w:rsid w:val="004118CF"/>
    <w:rsid w:val="0041760F"/>
    <w:rsid w:val="00422295"/>
    <w:rsid w:val="00425242"/>
    <w:rsid w:val="00425E5B"/>
    <w:rsid w:val="0042741E"/>
    <w:rsid w:val="00432021"/>
    <w:rsid w:val="00441764"/>
    <w:rsid w:val="00441FCB"/>
    <w:rsid w:val="00446939"/>
    <w:rsid w:val="00452E6F"/>
    <w:rsid w:val="00453233"/>
    <w:rsid w:val="004546BC"/>
    <w:rsid w:val="004624B3"/>
    <w:rsid w:val="00465601"/>
    <w:rsid w:val="00465C63"/>
    <w:rsid w:val="0047265A"/>
    <w:rsid w:val="00473846"/>
    <w:rsid w:val="004745D1"/>
    <w:rsid w:val="0048436D"/>
    <w:rsid w:val="00493111"/>
    <w:rsid w:val="0049409D"/>
    <w:rsid w:val="004A3240"/>
    <w:rsid w:val="004A3793"/>
    <w:rsid w:val="004B2EC7"/>
    <w:rsid w:val="004B3F50"/>
    <w:rsid w:val="004B7DC3"/>
    <w:rsid w:val="004C2B1B"/>
    <w:rsid w:val="004C3B92"/>
    <w:rsid w:val="004D1325"/>
    <w:rsid w:val="004D39E2"/>
    <w:rsid w:val="004D6CB1"/>
    <w:rsid w:val="004E3B52"/>
    <w:rsid w:val="004E5CD8"/>
    <w:rsid w:val="004E604C"/>
    <w:rsid w:val="004F3FCE"/>
    <w:rsid w:val="004F76A4"/>
    <w:rsid w:val="004F79AD"/>
    <w:rsid w:val="0050312F"/>
    <w:rsid w:val="0050525D"/>
    <w:rsid w:val="00511B8D"/>
    <w:rsid w:val="00512C44"/>
    <w:rsid w:val="005147D4"/>
    <w:rsid w:val="005203DF"/>
    <w:rsid w:val="00531EF8"/>
    <w:rsid w:val="005327BA"/>
    <w:rsid w:val="0053563B"/>
    <w:rsid w:val="00536A13"/>
    <w:rsid w:val="00537D4A"/>
    <w:rsid w:val="00552CDD"/>
    <w:rsid w:val="00552FCE"/>
    <w:rsid w:val="00553886"/>
    <w:rsid w:val="00557EEB"/>
    <w:rsid w:val="005676A2"/>
    <w:rsid w:val="00575A03"/>
    <w:rsid w:val="0058108E"/>
    <w:rsid w:val="00584B14"/>
    <w:rsid w:val="005868F4"/>
    <w:rsid w:val="005877D3"/>
    <w:rsid w:val="00590278"/>
    <w:rsid w:val="005907C0"/>
    <w:rsid w:val="00591993"/>
    <w:rsid w:val="005959BE"/>
    <w:rsid w:val="005A360B"/>
    <w:rsid w:val="005B02BA"/>
    <w:rsid w:val="005B5A69"/>
    <w:rsid w:val="005C0981"/>
    <w:rsid w:val="005C0F72"/>
    <w:rsid w:val="005C4E6D"/>
    <w:rsid w:val="005D3C87"/>
    <w:rsid w:val="005D5903"/>
    <w:rsid w:val="005D5E32"/>
    <w:rsid w:val="005E1477"/>
    <w:rsid w:val="005E1837"/>
    <w:rsid w:val="005E7A47"/>
    <w:rsid w:val="005F067A"/>
    <w:rsid w:val="005F4247"/>
    <w:rsid w:val="005F4CFA"/>
    <w:rsid w:val="005F51E0"/>
    <w:rsid w:val="005F61D1"/>
    <w:rsid w:val="0062650C"/>
    <w:rsid w:val="00626A79"/>
    <w:rsid w:val="00651719"/>
    <w:rsid w:val="00653F06"/>
    <w:rsid w:val="0065404B"/>
    <w:rsid w:val="00674340"/>
    <w:rsid w:val="0068630B"/>
    <w:rsid w:val="006947E6"/>
    <w:rsid w:val="00694DAF"/>
    <w:rsid w:val="00697EE1"/>
    <w:rsid w:val="006A110F"/>
    <w:rsid w:val="006B11BF"/>
    <w:rsid w:val="006B3EF9"/>
    <w:rsid w:val="006B54CC"/>
    <w:rsid w:val="006B70FA"/>
    <w:rsid w:val="006C143C"/>
    <w:rsid w:val="006D5ADA"/>
    <w:rsid w:val="006D5AEA"/>
    <w:rsid w:val="006D5AF2"/>
    <w:rsid w:val="006E3C0D"/>
    <w:rsid w:val="006E6031"/>
    <w:rsid w:val="006F205F"/>
    <w:rsid w:val="006F418E"/>
    <w:rsid w:val="006F4F44"/>
    <w:rsid w:val="0070072A"/>
    <w:rsid w:val="0070730D"/>
    <w:rsid w:val="00707850"/>
    <w:rsid w:val="00707AF8"/>
    <w:rsid w:val="007116F7"/>
    <w:rsid w:val="00714A51"/>
    <w:rsid w:val="007157C6"/>
    <w:rsid w:val="007159C3"/>
    <w:rsid w:val="00716383"/>
    <w:rsid w:val="0072496E"/>
    <w:rsid w:val="00726DA0"/>
    <w:rsid w:val="007347CB"/>
    <w:rsid w:val="00734A5F"/>
    <w:rsid w:val="00735C16"/>
    <w:rsid w:val="007427BC"/>
    <w:rsid w:val="007441CB"/>
    <w:rsid w:val="00745221"/>
    <w:rsid w:val="00751B2C"/>
    <w:rsid w:val="0075286D"/>
    <w:rsid w:val="007539EA"/>
    <w:rsid w:val="007639B4"/>
    <w:rsid w:val="00764D67"/>
    <w:rsid w:val="0076593C"/>
    <w:rsid w:val="00787D37"/>
    <w:rsid w:val="007A2470"/>
    <w:rsid w:val="007A50B6"/>
    <w:rsid w:val="007C202A"/>
    <w:rsid w:val="007C2A08"/>
    <w:rsid w:val="007C6A41"/>
    <w:rsid w:val="007D1788"/>
    <w:rsid w:val="007D78DE"/>
    <w:rsid w:val="007E0895"/>
    <w:rsid w:val="007E4C06"/>
    <w:rsid w:val="007E56E3"/>
    <w:rsid w:val="007F1B75"/>
    <w:rsid w:val="007F2687"/>
    <w:rsid w:val="00804354"/>
    <w:rsid w:val="008068BF"/>
    <w:rsid w:val="00811196"/>
    <w:rsid w:val="00813CBB"/>
    <w:rsid w:val="008206ED"/>
    <w:rsid w:val="00840EC9"/>
    <w:rsid w:val="008537A9"/>
    <w:rsid w:val="00867353"/>
    <w:rsid w:val="00880226"/>
    <w:rsid w:val="0088026A"/>
    <w:rsid w:val="00884331"/>
    <w:rsid w:val="0088558D"/>
    <w:rsid w:val="0089659B"/>
    <w:rsid w:val="008B1A3A"/>
    <w:rsid w:val="008B5E07"/>
    <w:rsid w:val="008B733C"/>
    <w:rsid w:val="008D23D7"/>
    <w:rsid w:val="008D37A5"/>
    <w:rsid w:val="008D496B"/>
    <w:rsid w:val="008D707F"/>
    <w:rsid w:val="008E066A"/>
    <w:rsid w:val="008E300A"/>
    <w:rsid w:val="008F6D94"/>
    <w:rsid w:val="00915B6F"/>
    <w:rsid w:val="00915EE6"/>
    <w:rsid w:val="00926E1E"/>
    <w:rsid w:val="00927CBD"/>
    <w:rsid w:val="00927E28"/>
    <w:rsid w:val="009410FB"/>
    <w:rsid w:val="0094206C"/>
    <w:rsid w:val="00944CED"/>
    <w:rsid w:val="00944EC0"/>
    <w:rsid w:val="00950FB1"/>
    <w:rsid w:val="00957CC1"/>
    <w:rsid w:val="009608C9"/>
    <w:rsid w:val="009618CB"/>
    <w:rsid w:val="00962AE5"/>
    <w:rsid w:val="00972934"/>
    <w:rsid w:val="00973134"/>
    <w:rsid w:val="009774C4"/>
    <w:rsid w:val="00980F52"/>
    <w:rsid w:val="00986546"/>
    <w:rsid w:val="00986560"/>
    <w:rsid w:val="0099252A"/>
    <w:rsid w:val="00997729"/>
    <w:rsid w:val="009B1A0C"/>
    <w:rsid w:val="009B6125"/>
    <w:rsid w:val="009B6831"/>
    <w:rsid w:val="009B791F"/>
    <w:rsid w:val="009C4349"/>
    <w:rsid w:val="009C5D94"/>
    <w:rsid w:val="009E7E44"/>
    <w:rsid w:val="00A01F1B"/>
    <w:rsid w:val="00A02008"/>
    <w:rsid w:val="00A033DF"/>
    <w:rsid w:val="00A0425D"/>
    <w:rsid w:val="00A108DE"/>
    <w:rsid w:val="00A12E61"/>
    <w:rsid w:val="00A1569F"/>
    <w:rsid w:val="00A23FC6"/>
    <w:rsid w:val="00A37A32"/>
    <w:rsid w:val="00A50881"/>
    <w:rsid w:val="00A56198"/>
    <w:rsid w:val="00A5775F"/>
    <w:rsid w:val="00A64A64"/>
    <w:rsid w:val="00A65DF5"/>
    <w:rsid w:val="00A66257"/>
    <w:rsid w:val="00A71E94"/>
    <w:rsid w:val="00A71EAD"/>
    <w:rsid w:val="00A7402C"/>
    <w:rsid w:val="00A7779D"/>
    <w:rsid w:val="00A77DBD"/>
    <w:rsid w:val="00A80811"/>
    <w:rsid w:val="00A8683A"/>
    <w:rsid w:val="00A91FAB"/>
    <w:rsid w:val="00AA3C80"/>
    <w:rsid w:val="00AA469A"/>
    <w:rsid w:val="00AA7C7C"/>
    <w:rsid w:val="00AA7D18"/>
    <w:rsid w:val="00AB5565"/>
    <w:rsid w:val="00AC5276"/>
    <w:rsid w:val="00AD3B50"/>
    <w:rsid w:val="00AD3FC3"/>
    <w:rsid w:val="00AE3604"/>
    <w:rsid w:val="00AF2A4C"/>
    <w:rsid w:val="00AF6028"/>
    <w:rsid w:val="00B004B9"/>
    <w:rsid w:val="00B07BF3"/>
    <w:rsid w:val="00B07E4A"/>
    <w:rsid w:val="00B167F1"/>
    <w:rsid w:val="00B30933"/>
    <w:rsid w:val="00B30F93"/>
    <w:rsid w:val="00B32E44"/>
    <w:rsid w:val="00B33F50"/>
    <w:rsid w:val="00B34BFA"/>
    <w:rsid w:val="00B37BD8"/>
    <w:rsid w:val="00B4042D"/>
    <w:rsid w:val="00B40502"/>
    <w:rsid w:val="00B50FB1"/>
    <w:rsid w:val="00B5647B"/>
    <w:rsid w:val="00B57243"/>
    <w:rsid w:val="00B60375"/>
    <w:rsid w:val="00B622E9"/>
    <w:rsid w:val="00B73112"/>
    <w:rsid w:val="00B75AFD"/>
    <w:rsid w:val="00B80250"/>
    <w:rsid w:val="00B83942"/>
    <w:rsid w:val="00BA4AE5"/>
    <w:rsid w:val="00BA6E55"/>
    <w:rsid w:val="00BB36E5"/>
    <w:rsid w:val="00BB5C92"/>
    <w:rsid w:val="00BC422F"/>
    <w:rsid w:val="00BC6D3D"/>
    <w:rsid w:val="00BD12DF"/>
    <w:rsid w:val="00BE0BBF"/>
    <w:rsid w:val="00BF5857"/>
    <w:rsid w:val="00BF7185"/>
    <w:rsid w:val="00C008A0"/>
    <w:rsid w:val="00C0742D"/>
    <w:rsid w:val="00C10FBB"/>
    <w:rsid w:val="00C2000B"/>
    <w:rsid w:val="00C26F40"/>
    <w:rsid w:val="00C32E0B"/>
    <w:rsid w:val="00C33391"/>
    <w:rsid w:val="00C360FB"/>
    <w:rsid w:val="00C36165"/>
    <w:rsid w:val="00C50587"/>
    <w:rsid w:val="00C53619"/>
    <w:rsid w:val="00C56FB6"/>
    <w:rsid w:val="00C634EE"/>
    <w:rsid w:val="00C66A2B"/>
    <w:rsid w:val="00C71C65"/>
    <w:rsid w:val="00C942ED"/>
    <w:rsid w:val="00CB0EE6"/>
    <w:rsid w:val="00CB114A"/>
    <w:rsid w:val="00CB1A7E"/>
    <w:rsid w:val="00CB34A7"/>
    <w:rsid w:val="00CB4604"/>
    <w:rsid w:val="00CC0A42"/>
    <w:rsid w:val="00CD14AE"/>
    <w:rsid w:val="00CD46D0"/>
    <w:rsid w:val="00CD5C26"/>
    <w:rsid w:val="00CD659D"/>
    <w:rsid w:val="00CE0859"/>
    <w:rsid w:val="00D053D5"/>
    <w:rsid w:val="00D10693"/>
    <w:rsid w:val="00D20D97"/>
    <w:rsid w:val="00D25A2A"/>
    <w:rsid w:val="00D27433"/>
    <w:rsid w:val="00D30F6D"/>
    <w:rsid w:val="00D3473C"/>
    <w:rsid w:val="00D375F1"/>
    <w:rsid w:val="00D4308C"/>
    <w:rsid w:val="00D446EA"/>
    <w:rsid w:val="00D50291"/>
    <w:rsid w:val="00D577E4"/>
    <w:rsid w:val="00D63615"/>
    <w:rsid w:val="00D7316C"/>
    <w:rsid w:val="00D9546A"/>
    <w:rsid w:val="00D9748F"/>
    <w:rsid w:val="00DA3159"/>
    <w:rsid w:val="00DB24BB"/>
    <w:rsid w:val="00DC141A"/>
    <w:rsid w:val="00DC24E6"/>
    <w:rsid w:val="00DD3A10"/>
    <w:rsid w:val="00DF0321"/>
    <w:rsid w:val="00DF791E"/>
    <w:rsid w:val="00E0316D"/>
    <w:rsid w:val="00E11B30"/>
    <w:rsid w:val="00E16518"/>
    <w:rsid w:val="00E24CD7"/>
    <w:rsid w:val="00E27364"/>
    <w:rsid w:val="00E279ED"/>
    <w:rsid w:val="00E60F41"/>
    <w:rsid w:val="00E6647A"/>
    <w:rsid w:val="00E749AA"/>
    <w:rsid w:val="00E9104C"/>
    <w:rsid w:val="00E9228A"/>
    <w:rsid w:val="00E95C93"/>
    <w:rsid w:val="00EA05E6"/>
    <w:rsid w:val="00EB5BD9"/>
    <w:rsid w:val="00EB72F5"/>
    <w:rsid w:val="00ED408B"/>
    <w:rsid w:val="00EE4F8A"/>
    <w:rsid w:val="00EE7ECF"/>
    <w:rsid w:val="00EF7443"/>
    <w:rsid w:val="00F04051"/>
    <w:rsid w:val="00F06068"/>
    <w:rsid w:val="00F124C9"/>
    <w:rsid w:val="00F30A73"/>
    <w:rsid w:val="00F40317"/>
    <w:rsid w:val="00F40906"/>
    <w:rsid w:val="00F41286"/>
    <w:rsid w:val="00F41EE0"/>
    <w:rsid w:val="00F53F98"/>
    <w:rsid w:val="00F67F13"/>
    <w:rsid w:val="00F76031"/>
    <w:rsid w:val="00F84452"/>
    <w:rsid w:val="00F91C76"/>
    <w:rsid w:val="00F91D92"/>
    <w:rsid w:val="00F951F2"/>
    <w:rsid w:val="00FB59D6"/>
    <w:rsid w:val="00FC0C08"/>
    <w:rsid w:val="00FE17D6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997C-1620-44DA-B586-71969821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lingjue</cp:lastModifiedBy>
  <cp:revision>2</cp:revision>
  <dcterms:created xsi:type="dcterms:W3CDTF">2019-02-25T05:38:00Z</dcterms:created>
  <dcterms:modified xsi:type="dcterms:W3CDTF">2019-02-25T05:38:00Z</dcterms:modified>
</cp:coreProperties>
</file>