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87" w:rsidRDefault="006043DE" w:rsidP="00340FEF">
      <w:pPr>
        <w:snapToGrid w:val="0"/>
        <w:spacing w:line="360" w:lineRule="auto"/>
        <w:jc w:val="center"/>
        <w:rPr>
          <w:rFonts w:ascii="微软雅黑" w:eastAsia="微软雅黑" w:hAnsi="微软雅黑" w:hint="eastAsia"/>
          <w:sz w:val="36"/>
          <w:szCs w:val="36"/>
        </w:rPr>
      </w:pPr>
      <w:r>
        <w:rPr>
          <w:rFonts w:ascii="微软雅黑" w:eastAsia="微软雅黑" w:hAnsi="微软雅黑" w:hint="eastAsia"/>
          <w:sz w:val="36"/>
          <w:szCs w:val="36"/>
        </w:rPr>
        <w:t>【财经早餐】2016.7.11星期一</w:t>
      </w:r>
    </w:p>
    <w:p w:rsidR="006043DE" w:rsidRDefault="006043DE" w:rsidP="00340FEF">
      <w:pPr>
        <w:snapToGrid w:val="0"/>
        <w:spacing w:line="360" w:lineRule="auto"/>
        <w:rPr>
          <w:rFonts w:ascii="微软雅黑" w:eastAsia="微软雅黑" w:hAnsi="微软雅黑" w:hint="eastAsia"/>
          <w:sz w:val="36"/>
          <w:szCs w:val="36"/>
        </w:rPr>
      </w:pP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color w:val="3E3E3E"/>
        </w:rPr>
      </w:pPr>
      <w:r>
        <w:rPr>
          <w:rStyle w:val="a4"/>
          <w:rFonts w:ascii="微软雅黑" w:eastAsia="微软雅黑" w:hAnsi="微软雅黑" w:hint="eastAsia"/>
          <w:color w:val="00B050"/>
        </w:rPr>
        <w:t>一、宏观、数据</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1、统计局：</w:t>
      </w:r>
      <w:r>
        <w:rPr>
          <w:rStyle w:val="a4"/>
          <w:rFonts w:ascii="微软雅黑" w:eastAsia="微软雅黑" w:hAnsi="微软雅黑" w:hint="eastAsia"/>
          <w:color w:val="C00000"/>
        </w:rPr>
        <w:t>6月CPI同比上涨1.9%；上半年CPI同比上涨2.1%。</w:t>
      </w:r>
      <w:r>
        <w:rPr>
          <w:rFonts w:ascii="微软雅黑" w:eastAsia="微软雅黑" w:hAnsi="微软雅黑" w:hint="eastAsia"/>
          <w:color w:val="3E3E3E"/>
        </w:rPr>
        <w:t>6月PPI同比下降2.6%；上半年PPI同比下降3.9%。汇丰屈宏斌点评，内需尚未完全恢复</w:t>
      </w:r>
      <w:proofErr w:type="gramStart"/>
      <w:r>
        <w:rPr>
          <w:rFonts w:ascii="微软雅黑" w:eastAsia="微软雅黑" w:hAnsi="微软雅黑" w:hint="eastAsia"/>
          <w:color w:val="3E3E3E"/>
        </w:rPr>
        <w:t>下工业</w:t>
      </w:r>
      <w:proofErr w:type="gramEnd"/>
      <w:r>
        <w:rPr>
          <w:rFonts w:ascii="微软雅黑" w:eastAsia="微软雅黑" w:hAnsi="微软雅黑" w:hint="eastAsia"/>
          <w:color w:val="3E3E3E"/>
        </w:rPr>
        <w:t>价格难有明显起色。通缩阴影仍在，应采取一篮子政策调控稳信心。</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2、民生证券：</w:t>
      </w:r>
      <w:r>
        <w:rPr>
          <w:rStyle w:val="a4"/>
          <w:rFonts w:ascii="微软雅黑" w:eastAsia="微软雅黑" w:hAnsi="微软雅黑" w:hint="eastAsia"/>
          <w:color w:val="C00000"/>
        </w:rPr>
        <w:t>三季度成为政策宽松窗口期。</w:t>
      </w:r>
      <w:r>
        <w:rPr>
          <w:rFonts w:ascii="微软雅黑" w:eastAsia="微软雅黑" w:hAnsi="微软雅黑" w:hint="eastAsia"/>
          <w:color w:val="3E3E3E"/>
        </w:rPr>
        <w:t>预计三季度CPI同比在四个季度中可能最低，四季度在猪肉、油价的低基数下有所回升。随着三季度经济数据走弱以及年中政治局会议的召开，政策宽松力度将边际增强。</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3、方正证券任泽平：</w:t>
      </w:r>
      <w:r>
        <w:rPr>
          <w:rFonts w:ascii="微软雅黑" w:eastAsia="微软雅黑" w:hAnsi="微软雅黑" w:hint="eastAsia"/>
          <w:color w:val="3E3E3E"/>
        </w:rPr>
        <w:t>CPI见顶回落，3季度有望延续下行，季末有望降至1.5%附近。比短期异常天气更值得关注的是食品供应周期及流动性冲击周期。</w:t>
      </w:r>
      <w:r>
        <w:rPr>
          <w:rStyle w:val="a4"/>
          <w:rFonts w:ascii="微软雅黑" w:eastAsia="微软雅黑" w:hAnsi="微软雅黑" w:hint="eastAsia"/>
          <w:color w:val="C00000"/>
        </w:rPr>
        <w:t>通胀进入“1”时代，</w:t>
      </w:r>
      <w:proofErr w:type="gramStart"/>
      <w:r>
        <w:rPr>
          <w:rStyle w:val="a4"/>
          <w:rFonts w:ascii="微软雅黑" w:eastAsia="微软雅黑" w:hAnsi="微软雅黑" w:hint="eastAsia"/>
          <w:color w:val="C00000"/>
        </w:rPr>
        <w:t>货政宽松</w:t>
      </w:r>
      <w:proofErr w:type="gramEnd"/>
      <w:r>
        <w:rPr>
          <w:rStyle w:val="a4"/>
          <w:rFonts w:ascii="微软雅黑" w:eastAsia="微软雅黑" w:hAnsi="微软雅黑" w:hint="eastAsia"/>
          <w:color w:val="C00000"/>
        </w:rPr>
        <w:t>空间打开。</w:t>
      </w:r>
      <w:r>
        <w:rPr>
          <w:rFonts w:ascii="微软雅黑" w:eastAsia="微软雅黑" w:hAnsi="微软雅黑" w:hint="eastAsia"/>
          <w:color w:val="3E3E3E"/>
        </w:rPr>
        <w:t>看多黄金国债。</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4、商务部部长高虎城：</w:t>
      </w:r>
      <w:r>
        <w:rPr>
          <w:rFonts w:ascii="微软雅黑" w:eastAsia="微软雅黑" w:hAnsi="微软雅黑" w:hint="eastAsia"/>
          <w:color w:val="3E3E3E"/>
        </w:rPr>
        <w:t>G20贸易部长会议建立了G20贸易投资机制。</w:t>
      </w:r>
      <w:r>
        <w:rPr>
          <w:rStyle w:val="a4"/>
          <w:rFonts w:ascii="微软雅黑" w:eastAsia="微软雅黑" w:hAnsi="微软雅黑" w:hint="eastAsia"/>
          <w:color w:val="C00000"/>
        </w:rPr>
        <w:t>G20成员同意降低贸易成本，</w:t>
      </w:r>
      <w:r>
        <w:rPr>
          <w:rFonts w:ascii="微软雅黑" w:eastAsia="微软雅黑" w:hAnsi="微软雅黑" w:hint="eastAsia"/>
          <w:color w:val="3E3E3E"/>
        </w:rPr>
        <w:t>增加政策协作，扩大融资及促进电子商务发展，寻求在今年内签署贸易便利化协议。G20成员同意避免保护主义的出现。</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5、新华社：</w:t>
      </w:r>
      <w:r>
        <w:rPr>
          <w:rFonts w:ascii="微软雅黑" w:eastAsia="微软雅黑" w:hAnsi="微软雅黑" w:hint="eastAsia"/>
          <w:color w:val="3E3E3E"/>
        </w:rPr>
        <w:t>记者赴各地年中经济形势调研发现，</w:t>
      </w:r>
      <w:r>
        <w:rPr>
          <w:rStyle w:val="a4"/>
          <w:rFonts w:ascii="微软雅黑" w:eastAsia="微软雅黑" w:hAnsi="微软雅黑" w:hint="eastAsia"/>
          <w:color w:val="C00000"/>
        </w:rPr>
        <w:t>围绕“三去一降一补”五大任务，供给侧结构性改革推进已取得积极进展。</w:t>
      </w:r>
      <w:r>
        <w:rPr>
          <w:rFonts w:ascii="微软雅黑" w:eastAsia="微软雅黑" w:hAnsi="微软雅黑" w:hint="eastAsia"/>
          <w:color w:val="3E3E3E"/>
        </w:rPr>
        <w:t>但五大任务涉及面广、影响大、情况复杂，随着改革推进逐步深入，各项任务推进务求有力、有度、有效。</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二、房产</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lastRenderedPageBreak/>
        <w:t>1、新华网：</w:t>
      </w:r>
      <w:r>
        <w:rPr>
          <w:rStyle w:val="a4"/>
          <w:rFonts w:ascii="微软雅黑" w:eastAsia="微软雅黑" w:hAnsi="微软雅黑" w:hint="eastAsia"/>
          <w:color w:val="C00000"/>
        </w:rPr>
        <w:t>为加快推进房地产去库存，浙江省日前出台措施，</w:t>
      </w:r>
      <w:r>
        <w:rPr>
          <w:rFonts w:ascii="微软雅黑" w:eastAsia="微软雅黑" w:hAnsi="微软雅黑" w:hint="eastAsia"/>
          <w:color w:val="3E3E3E"/>
        </w:rPr>
        <w:t>对于在售商品住宅库存消化周期超过20个月的，或者在售、在建待售及已出让待建商品住宅消化周期超过30个月的市、县（市、区），暂停商品住宅用地供应。</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2、中证网：</w:t>
      </w:r>
      <w:proofErr w:type="gramStart"/>
      <w:r>
        <w:rPr>
          <w:rFonts w:ascii="微软雅黑" w:eastAsia="微软雅黑" w:hAnsi="微软雅黑" w:hint="eastAsia"/>
          <w:color w:val="3E3E3E"/>
        </w:rPr>
        <w:t>世</w:t>
      </w:r>
      <w:proofErr w:type="gramEnd"/>
      <w:r>
        <w:rPr>
          <w:rFonts w:ascii="微软雅黑" w:eastAsia="微软雅黑" w:hAnsi="微软雅黑" w:hint="eastAsia"/>
          <w:color w:val="3E3E3E"/>
        </w:rPr>
        <w:t>联行公告，</w:t>
      </w:r>
      <w:r>
        <w:rPr>
          <w:rStyle w:val="a4"/>
          <w:rFonts w:ascii="微软雅黑" w:eastAsia="微软雅黑" w:hAnsi="微软雅黑" w:hint="eastAsia"/>
          <w:color w:val="C00000"/>
        </w:rPr>
        <w:t>募集资金总额不超过20亿，投入长租公寓建设项目。</w:t>
      </w:r>
      <w:r>
        <w:rPr>
          <w:rFonts w:ascii="微软雅黑" w:eastAsia="微软雅黑" w:hAnsi="微软雅黑" w:hint="eastAsia"/>
          <w:color w:val="3E3E3E"/>
        </w:rPr>
        <w:t>随着我国住房租赁刚性需求的持续强劲以及国家鼓励发展住房租赁市场政策的陆续出台，长租公寓市场得以迅速兴起，并具有广阔的发展空间。</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三、市场</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proofErr w:type="gramStart"/>
      <w:r>
        <w:rPr>
          <w:rStyle w:val="a4"/>
          <w:rFonts w:ascii="微软雅黑" w:eastAsia="微软雅黑" w:hAnsi="微软雅黑" w:hint="eastAsia"/>
          <w:color w:val="002060"/>
        </w:rPr>
        <w:t>发改委</w:t>
      </w:r>
      <w:proofErr w:type="gramEnd"/>
      <w:r>
        <w:rPr>
          <w:rStyle w:val="a4"/>
          <w:rFonts w:ascii="微软雅黑" w:eastAsia="微软雅黑" w:hAnsi="微软雅黑" w:hint="eastAsia"/>
          <w:color w:val="002060"/>
        </w:rPr>
        <w:t>：</w:t>
      </w:r>
      <w:r>
        <w:rPr>
          <w:rFonts w:ascii="微软雅黑" w:eastAsia="微软雅黑" w:hAnsi="微软雅黑" w:hint="eastAsia"/>
          <w:color w:val="3E3E3E"/>
        </w:rPr>
        <w:t>日前发出紧急通知，要求各地价格主管部门做好价格监测预警，加强价格调控监管，</w:t>
      </w:r>
      <w:r>
        <w:rPr>
          <w:rStyle w:val="a4"/>
          <w:rFonts w:ascii="微软雅黑" w:eastAsia="微软雅黑" w:hAnsi="微软雅黑" w:hint="eastAsia"/>
          <w:color w:val="C00000"/>
        </w:rPr>
        <w:t>保障蔬菜等重要商品市场和价格稳定。</w:t>
      </w:r>
      <w:r>
        <w:rPr>
          <w:rFonts w:ascii="微软雅黑" w:eastAsia="微软雅黑" w:hAnsi="微软雅黑" w:hint="eastAsia"/>
          <w:color w:val="3E3E3E"/>
        </w:rPr>
        <w:t>必要时，可依法采取临时价格干预措施，防止价格过度上涨。</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2、财政部、商务部：</w:t>
      </w:r>
      <w:r>
        <w:rPr>
          <w:rStyle w:val="a4"/>
          <w:rFonts w:ascii="微软雅黑" w:eastAsia="微软雅黑" w:hAnsi="微软雅黑" w:hint="eastAsia"/>
          <w:color w:val="C00000"/>
        </w:rPr>
        <w:t>近日联合发布《关于2016年度外经贸发展专项资金重点工作的通知》。</w:t>
      </w:r>
      <w:r>
        <w:rPr>
          <w:rFonts w:ascii="微软雅黑" w:eastAsia="微软雅黑" w:hAnsi="微软雅黑" w:hint="eastAsia"/>
          <w:color w:val="3E3E3E"/>
        </w:rPr>
        <w:t>通知提出，在促进外贸稳增长、调结构领域，将推动中西部地区及加工贸易重点承接地承接加工贸易梯度转移。</w:t>
      </w:r>
    </w:p>
    <w:p w:rsidR="006043DE" w:rsidRDefault="00340FEF"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3</w:t>
      </w:r>
      <w:r w:rsidR="006043DE">
        <w:rPr>
          <w:rStyle w:val="a4"/>
          <w:rFonts w:ascii="微软雅黑" w:eastAsia="微软雅黑" w:hAnsi="微软雅黑" w:hint="eastAsia"/>
          <w:color w:val="002060"/>
        </w:rPr>
        <w:t>、人民日报：</w:t>
      </w:r>
      <w:r w:rsidR="006043DE">
        <w:rPr>
          <w:rFonts w:ascii="微软雅黑" w:eastAsia="微软雅黑" w:hAnsi="微软雅黑" w:hint="eastAsia"/>
          <w:color w:val="3E3E3E"/>
        </w:rPr>
        <w:t>去年以来，</w:t>
      </w:r>
      <w:r w:rsidR="006043DE">
        <w:rPr>
          <w:rStyle w:val="a4"/>
          <w:rFonts w:ascii="微软雅黑" w:eastAsia="微软雅黑" w:hAnsi="微软雅黑" w:hint="eastAsia"/>
          <w:color w:val="C00000"/>
        </w:rPr>
        <w:t>中国资本开始在海外足球市场开疆拓土。</w:t>
      </w:r>
      <w:r w:rsidR="006043DE">
        <w:rPr>
          <w:rFonts w:ascii="微软雅黑" w:eastAsia="微软雅黑" w:hAnsi="微软雅黑" w:hint="eastAsia"/>
          <w:color w:val="3E3E3E"/>
        </w:rPr>
        <w:t>据不完全统计，迄今已完成对英格兰、西班牙等10家海外俱乐部的并购，其中8家实现控股，这8家当中有3家实现全资控股。中国资本正在世界足坛“亮出肌肉”。</w:t>
      </w:r>
    </w:p>
    <w:p w:rsidR="006043DE" w:rsidRDefault="00340FEF"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4</w:t>
      </w:r>
      <w:r w:rsidR="006043DE">
        <w:rPr>
          <w:rStyle w:val="a4"/>
          <w:rFonts w:ascii="微软雅黑" w:eastAsia="微软雅黑" w:hAnsi="微软雅黑" w:hint="eastAsia"/>
          <w:color w:val="002060"/>
        </w:rPr>
        <w:t>、中新网：</w:t>
      </w:r>
      <w:r w:rsidR="006043DE">
        <w:rPr>
          <w:rFonts w:ascii="微软雅黑" w:eastAsia="微软雅黑" w:hAnsi="微软雅黑" w:hint="eastAsia"/>
          <w:color w:val="3E3E3E"/>
        </w:rPr>
        <w:t>中粮集团总工程师岳国君认为，由于政府对食品安全的监管越来越严，当前已是历史上中国食品最安全的阶段。但是人们对食品安全的期待在不断上升，国家食品安全标准也在不断严格，</w:t>
      </w:r>
      <w:r w:rsidR="006043DE">
        <w:rPr>
          <w:rStyle w:val="a4"/>
          <w:rFonts w:ascii="微软雅黑" w:eastAsia="微软雅黑" w:hAnsi="微软雅黑" w:hint="eastAsia"/>
          <w:color w:val="C00000"/>
        </w:rPr>
        <w:t>所以食品安全永远“在路上”。</w:t>
      </w:r>
    </w:p>
    <w:p w:rsidR="006043DE" w:rsidRDefault="00340FEF"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5</w:t>
      </w:r>
      <w:r w:rsidR="006043DE">
        <w:rPr>
          <w:rStyle w:val="a4"/>
          <w:rFonts w:ascii="微软雅黑" w:eastAsia="微软雅黑" w:hAnsi="微软雅黑" w:hint="eastAsia"/>
          <w:color w:val="002060"/>
        </w:rPr>
        <w:t>、我的钢铁：</w:t>
      </w:r>
      <w:r w:rsidR="006043DE">
        <w:rPr>
          <w:rFonts w:ascii="微软雅黑" w:eastAsia="微软雅黑" w:hAnsi="微软雅黑" w:hint="eastAsia"/>
          <w:color w:val="3E3E3E"/>
        </w:rPr>
        <w:t>最近一周，</w:t>
      </w:r>
      <w:r w:rsidR="006043DE">
        <w:rPr>
          <w:rStyle w:val="a4"/>
          <w:rFonts w:ascii="微软雅黑" w:eastAsia="微软雅黑" w:hAnsi="微软雅黑" w:hint="eastAsia"/>
          <w:color w:val="C00000"/>
        </w:rPr>
        <w:t>国内现货钢</w:t>
      </w:r>
      <w:proofErr w:type="gramStart"/>
      <w:r w:rsidR="006043DE">
        <w:rPr>
          <w:rStyle w:val="a4"/>
          <w:rFonts w:ascii="微软雅黑" w:eastAsia="微软雅黑" w:hAnsi="微软雅黑" w:hint="eastAsia"/>
          <w:color w:val="C00000"/>
        </w:rPr>
        <w:t>价综合</w:t>
      </w:r>
      <w:proofErr w:type="gramEnd"/>
      <w:r w:rsidR="006043DE">
        <w:rPr>
          <w:rStyle w:val="a4"/>
          <w:rFonts w:ascii="微软雅黑" w:eastAsia="微软雅黑" w:hAnsi="微软雅黑" w:hint="eastAsia"/>
          <w:color w:val="C00000"/>
        </w:rPr>
        <w:t>指数报收于91.96点，周涨2.26%。</w:t>
      </w:r>
      <w:r w:rsidR="006043DE">
        <w:rPr>
          <w:rFonts w:ascii="微软雅黑" w:eastAsia="微软雅黑" w:hAnsi="微软雅黑" w:hint="eastAsia"/>
          <w:color w:val="3E3E3E"/>
        </w:rPr>
        <w:t>钢材现货市场价格震荡上涨，市场成交依然乏力，但受洪涝灾害影响，多地市场资源难以跟进，导致市场库存偏低。预计短期市场价格多震荡趋强运行。</w:t>
      </w:r>
    </w:p>
    <w:p w:rsidR="006043DE" w:rsidRDefault="00340FEF"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lastRenderedPageBreak/>
        <w:t>6</w:t>
      </w:r>
      <w:r w:rsidR="006043DE">
        <w:rPr>
          <w:rStyle w:val="a4"/>
          <w:rFonts w:ascii="微软雅黑" w:eastAsia="微软雅黑" w:hAnsi="微软雅黑" w:hint="eastAsia"/>
          <w:color w:val="002060"/>
        </w:rPr>
        <w:t>、中国经营报：</w:t>
      </w:r>
      <w:r w:rsidR="006043DE">
        <w:rPr>
          <w:rFonts w:ascii="微软雅黑" w:eastAsia="微软雅黑" w:hAnsi="微软雅黑" w:hint="eastAsia"/>
          <w:color w:val="3E3E3E"/>
        </w:rPr>
        <w:t>市场研究公司IDC日前发布最新报告称，</w:t>
      </w:r>
      <w:r w:rsidR="006043DE">
        <w:rPr>
          <w:rStyle w:val="a4"/>
          <w:rFonts w:ascii="微软雅黑" w:eastAsia="微软雅黑" w:hAnsi="微软雅黑" w:hint="eastAsia"/>
          <w:color w:val="C00000"/>
        </w:rPr>
        <w:t>全球PC出货量今年将下滑7.3%，</w:t>
      </w:r>
      <w:r w:rsidR="006043DE">
        <w:rPr>
          <w:rFonts w:ascii="微软雅黑" w:eastAsia="微软雅黑" w:hAnsi="微软雅黑" w:hint="eastAsia"/>
          <w:color w:val="3E3E3E"/>
        </w:rPr>
        <w:t>较最初预计的更加严重。全球电脑市场仍处在结构调整中，未来几年电脑数量仍会下降。IDC副总裁表示，这样的持续衰退是“前所未见的”。</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四、股市</w:t>
      </w:r>
    </w:p>
    <w:p w:rsidR="006043DE" w:rsidRDefault="00340FEF"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6043DE">
        <w:rPr>
          <w:rStyle w:val="a4"/>
          <w:rFonts w:ascii="微软雅黑" w:eastAsia="微软雅黑" w:hAnsi="微软雅黑" w:hint="eastAsia"/>
          <w:color w:val="002060"/>
        </w:rPr>
        <w:t>、海通证券：</w:t>
      </w:r>
      <w:r w:rsidR="006043DE">
        <w:rPr>
          <w:rFonts w:ascii="微软雅黑" w:eastAsia="微软雅黑" w:hAnsi="微软雅黑" w:hint="eastAsia"/>
          <w:color w:val="3E3E3E"/>
        </w:rPr>
        <w:t>4月中以来市场经历了放量下跌、缩量盘整、放量上涨，近期融资余额不断增加，风险偏好回升，</w:t>
      </w:r>
      <w:r w:rsidR="006043DE">
        <w:rPr>
          <w:rStyle w:val="a4"/>
          <w:rFonts w:ascii="微软雅黑" w:eastAsia="微软雅黑" w:hAnsi="微软雅黑" w:hint="eastAsia"/>
          <w:color w:val="C00000"/>
        </w:rPr>
        <w:t>短期行情已经步入多头市场。</w:t>
      </w:r>
      <w:r w:rsidR="006043DE">
        <w:rPr>
          <w:rFonts w:ascii="微软雅黑" w:eastAsia="微软雅黑" w:hAnsi="微软雅黑" w:hint="eastAsia"/>
          <w:color w:val="3E3E3E"/>
        </w:rPr>
        <w:t>目前经济状况下政策望再次走向偏松，</w:t>
      </w:r>
      <w:proofErr w:type="gramStart"/>
      <w:r w:rsidR="006043DE">
        <w:rPr>
          <w:rFonts w:ascii="微软雅黑" w:eastAsia="微软雅黑" w:hAnsi="微软雅黑" w:hint="eastAsia"/>
          <w:color w:val="3E3E3E"/>
        </w:rPr>
        <w:t>且改革</w:t>
      </w:r>
      <w:proofErr w:type="gramEnd"/>
      <w:r w:rsidR="006043DE">
        <w:rPr>
          <w:rFonts w:ascii="微软雅黑" w:eastAsia="微软雅黑" w:hAnsi="微软雅黑" w:hint="eastAsia"/>
          <w:color w:val="3E3E3E"/>
        </w:rPr>
        <w:t>在推进。震荡市以稳定增长类股为底仓。</w:t>
      </w:r>
    </w:p>
    <w:p w:rsidR="006043DE" w:rsidRDefault="00340FEF"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w:t>
      </w:r>
      <w:r w:rsidR="006043DE">
        <w:rPr>
          <w:rStyle w:val="a4"/>
          <w:rFonts w:ascii="微软雅黑" w:eastAsia="微软雅黑" w:hAnsi="微软雅黑" w:hint="eastAsia"/>
          <w:color w:val="002060"/>
        </w:rPr>
        <w:t>、沪深交易所：</w:t>
      </w:r>
      <w:r w:rsidR="006043DE">
        <w:rPr>
          <w:rFonts w:ascii="微软雅黑" w:eastAsia="微软雅黑" w:hAnsi="微软雅黑" w:hint="eastAsia"/>
          <w:color w:val="3E3E3E"/>
        </w:rPr>
        <w:t>截至8日上周最后一个交易日，</w:t>
      </w:r>
      <w:r w:rsidR="006043DE">
        <w:rPr>
          <w:rStyle w:val="a4"/>
          <w:rFonts w:ascii="微软雅黑" w:eastAsia="微软雅黑" w:hAnsi="微软雅黑" w:hint="eastAsia"/>
          <w:color w:val="C00000"/>
        </w:rPr>
        <w:t>沪深股市流通</w:t>
      </w:r>
      <w:proofErr w:type="gramStart"/>
      <w:r w:rsidR="006043DE">
        <w:rPr>
          <w:rStyle w:val="a4"/>
          <w:rFonts w:ascii="微软雅黑" w:eastAsia="微软雅黑" w:hAnsi="微软雅黑" w:hint="eastAsia"/>
          <w:color w:val="C00000"/>
        </w:rPr>
        <w:t>市值报</w:t>
      </w:r>
      <w:proofErr w:type="gramEnd"/>
      <w:r w:rsidR="006043DE">
        <w:rPr>
          <w:rStyle w:val="a4"/>
          <w:rFonts w:ascii="微软雅黑" w:eastAsia="微软雅黑" w:hAnsi="微软雅黑" w:hint="eastAsia"/>
          <w:color w:val="C00000"/>
        </w:rPr>
        <w:t>37.01</w:t>
      </w:r>
      <w:proofErr w:type="gramStart"/>
      <w:r w:rsidR="006043DE">
        <w:rPr>
          <w:rStyle w:val="a4"/>
          <w:rFonts w:ascii="微软雅黑" w:eastAsia="微软雅黑" w:hAnsi="微软雅黑" w:hint="eastAsia"/>
          <w:color w:val="C00000"/>
        </w:rPr>
        <w:t>万亿</w:t>
      </w:r>
      <w:proofErr w:type="gramEnd"/>
      <w:r w:rsidR="006043DE">
        <w:rPr>
          <w:rStyle w:val="a4"/>
          <w:rFonts w:ascii="微软雅黑" w:eastAsia="微软雅黑" w:hAnsi="微软雅黑" w:hint="eastAsia"/>
          <w:color w:val="C00000"/>
        </w:rPr>
        <w:t>，一周增加1.86%。</w:t>
      </w:r>
      <w:r w:rsidR="006043DE">
        <w:rPr>
          <w:rFonts w:ascii="微软雅黑" w:eastAsia="微软雅黑" w:hAnsi="微软雅黑" w:hint="eastAsia"/>
          <w:color w:val="3E3E3E"/>
        </w:rPr>
        <w:t>两市股票平均价格10.17元，一周上涨1.7%。沪市上市公司1108家，平均市盈率14.76；深市上市公司1785家，平均市盈率41.06。</w:t>
      </w:r>
    </w:p>
    <w:p w:rsidR="006043DE" w:rsidRDefault="00340FEF"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3</w:t>
      </w:r>
      <w:r w:rsidR="006043DE">
        <w:rPr>
          <w:rStyle w:val="a4"/>
          <w:rFonts w:ascii="微软雅黑" w:eastAsia="微软雅黑" w:hAnsi="微软雅黑" w:hint="eastAsia"/>
          <w:color w:val="002060"/>
        </w:rPr>
        <w:t>、中证网：</w:t>
      </w:r>
      <w:r w:rsidR="006043DE">
        <w:rPr>
          <w:rFonts w:ascii="微软雅黑" w:eastAsia="微软雅黑" w:hAnsi="微软雅黑" w:hint="eastAsia"/>
          <w:color w:val="3E3E3E"/>
        </w:rPr>
        <w:t>两市首份中报出炉。深交所发布的中文在线中报显示，上半年归属于上市公司股东净利润783万，同比增12.46%。</w:t>
      </w:r>
      <w:r w:rsidR="006043DE">
        <w:rPr>
          <w:rStyle w:val="a4"/>
          <w:rFonts w:ascii="微软雅黑" w:eastAsia="微软雅黑" w:hAnsi="微软雅黑" w:hint="eastAsia"/>
          <w:color w:val="C00000"/>
        </w:rPr>
        <w:t>随着中报披露拉开帷幕，高送</w:t>
      </w:r>
      <w:proofErr w:type="gramStart"/>
      <w:r w:rsidR="006043DE">
        <w:rPr>
          <w:rStyle w:val="a4"/>
          <w:rFonts w:ascii="微软雅黑" w:eastAsia="微软雅黑" w:hAnsi="微软雅黑" w:hint="eastAsia"/>
          <w:color w:val="C00000"/>
        </w:rPr>
        <w:t>转行情</w:t>
      </w:r>
      <w:proofErr w:type="gramEnd"/>
      <w:r w:rsidR="006043DE">
        <w:rPr>
          <w:rStyle w:val="a4"/>
          <w:rFonts w:ascii="微软雅黑" w:eastAsia="微软雅黑" w:hAnsi="微软雅黑" w:hint="eastAsia"/>
          <w:color w:val="C00000"/>
        </w:rPr>
        <w:t>开始升温。</w:t>
      </w:r>
      <w:r w:rsidR="006043DE">
        <w:rPr>
          <w:rFonts w:ascii="微软雅黑" w:eastAsia="微软雅黑" w:hAnsi="微软雅黑" w:hint="eastAsia"/>
          <w:color w:val="3E3E3E"/>
        </w:rPr>
        <w:t>沪深两市近一个月来已有15家公司推出高送转方案。</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五、国际</w:t>
      </w:r>
    </w:p>
    <w:p w:rsidR="006043DE" w:rsidRDefault="00340FEF"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6043DE">
        <w:rPr>
          <w:rStyle w:val="a4"/>
          <w:rFonts w:ascii="微软雅黑" w:eastAsia="微软雅黑" w:hAnsi="微软雅黑" w:hint="eastAsia"/>
          <w:color w:val="002060"/>
        </w:rPr>
        <w:t>、上周五，波罗的海干散货指数涨0.57%，报703点，</w:t>
      </w:r>
      <w:r w:rsidR="006043DE">
        <w:rPr>
          <w:rFonts w:ascii="微软雅黑" w:eastAsia="微软雅黑" w:hAnsi="微软雅黑" w:hint="eastAsia"/>
          <w:color w:val="3E3E3E"/>
        </w:rPr>
        <w:t>周涨3.84%。</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六、外汇</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1、上周五，在岸人民币兑美元16:30收盘，报6.6881，</w:t>
      </w:r>
      <w:r>
        <w:rPr>
          <w:rFonts w:ascii="微软雅黑" w:eastAsia="微软雅黑" w:hAnsi="微软雅黑" w:hint="eastAsia"/>
          <w:color w:val="3E3E3E"/>
        </w:rPr>
        <w:t>跌0.08%，周跌0.45%，为连续第四周贬值。</w:t>
      </w:r>
      <w:r>
        <w:rPr>
          <w:rStyle w:val="a4"/>
          <w:rFonts w:ascii="微软雅黑" w:eastAsia="微软雅黑" w:hAnsi="微软雅黑" w:hint="eastAsia"/>
          <w:color w:val="002060"/>
        </w:rPr>
        <w:t>人民币</w:t>
      </w:r>
      <w:proofErr w:type="gramStart"/>
      <w:r>
        <w:rPr>
          <w:rStyle w:val="a4"/>
          <w:rFonts w:ascii="微软雅黑" w:eastAsia="微软雅黑" w:hAnsi="微软雅黑" w:hint="eastAsia"/>
          <w:color w:val="002060"/>
        </w:rPr>
        <w:t>中间价报</w:t>
      </w:r>
      <w:proofErr w:type="gramEnd"/>
      <w:r>
        <w:rPr>
          <w:rStyle w:val="a4"/>
          <w:rFonts w:ascii="微软雅黑" w:eastAsia="微软雅黑" w:hAnsi="微软雅黑" w:hint="eastAsia"/>
          <w:color w:val="002060"/>
        </w:rPr>
        <w:t>6.6853，</w:t>
      </w:r>
      <w:r>
        <w:rPr>
          <w:rFonts w:ascii="微软雅黑" w:eastAsia="微软雅黑" w:hAnsi="微软雅黑" w:hint="eastAsia"/>
          <w:color w:val="3E3E3E"/>
        </w:rPr>
        <w:t>周跌0.54%。</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w:t>
      </w:r>
      <w:proofErr w:type="gramStart"/>
      <w:r>
        <w:rPr>
          <w:rStyle w:val="a4"/>
          <w:rFonts w:ascii="微软雅黑" w:eastAsia="微软雅黑" w:hAnsi="微软雅黑" w:hint="eastAsia"/>
          <w:color w:val="002060"/>
        </w:rPr>
        <w:t>一</w:t>
      </w:r>
      <w:proofErr w:type="gramEnd"/>
      <w:r>
        <w:rPr>
          <w:rStyle w:val="a4"/>
          <w:rFonts w:ascii="微软雅黑" w:eastAsia="微软雅黑" w:hAnsi="微软雅黑" w:hint="eastAsia"/>
          <w:color w:val="002060"/>
        </w:rPr>
        <w:t>财：</w:t>
      </w:r>
      <w:r>
        <w:rPr>
          <w:rFonts w:ascii="微软雅黑" w:eastAsia="微软雅黑" w:hAnsi="微软雅黑" w:hint="eastAsia"/>
          <w:color w:val="3E3E3E"/>
        </w:rPr>
        <w:t>美国6月非农就业数据大超预期，年内加息预期升温助</w:t>
      </w:r>
      <w:proofErr w:type="gramStart"/>
      <w:r>
        <w:rPr>
          <w:rFonts w:ascii="微软雅黑" w:eastAsia="微软雅黑" w:hAnsi="微软雅黑" w:hint="eastAsia"/>
          <w:color w:val="3E3E3E"/>
        </w:rPr>
        <w:t>推美元</w:t>
      </w:r>
      <w:proofErr w:type="gramEnd"/>
      <w:r>
        <w:rPr>
          <w:rFonts w:ascii="微软雅黑" w:eastAsia="微软雅黑" w:hAnsi="微软雅黑" w:hint="eastAsia"/>
          <w:color w:val="3E3E3E"/>
        </w:rPr>
        <w:t>走高。对美元涨了整整半年的日元丝毫没有退缩。日元半年来对人民币涨幅已经接近30%。当前主流观点是，</w:t>
      </w:r>
      <w:r>
        <w:rPr>
          <w:rStyle w:val="a4"/>
          <w:rFonts w:ascii="微软雅黑" w:eastAsia="微软雅黑" w:hAnsi="微软雅黑" w:hint="eastAsia"/>
          <w:color w:val="C00000"/>
        </w:rPr>
        <w:t>日元不会继续暴力上涨，但升势仍将中期持续。</w:t>
      </w:r>
    </w:p>
    <w:p w:rsidR="006043DE" w:rsidRDefault="00340FEF"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七</w:t>
      </w:r>
      <w:r w:rsidR="006043DE">
        <w:rPr>
          <w:rStyle w:val="a4"/>
          <w:rFonts w:ascii="微软雅黑" w:eastAsia="微软雅黑" w:hAnsi="微软雅黑" w:hint="eastAsia"/>
          <w:color w:val="00B050"/>
        </w:rPr>
        <w:t>、石油</w:t>
      </w:r>
    </w:p>
    <w:p w:rsidR="006043DE" w:rsidRDefault="006043DE" w:rsidP="00340FEF">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lastRenderedPageBreak/>
        <w:t>1、上周五，WTI8月原油期货涨0.6%，</w:t>
      </w:r>
      <w:r>
        <w:rPr>
          <w:rFonts w:ascii="微软雅黑" w:eastAsia="微软雅黑" w:hAnsi="微软雅黑" w:hint="eastAsia"/>
          <w:color w:val="3E3E3E"/>
        </w:rPr>
        <w:t>至45.41美元／桶，周跌7.3%；</w:t>
      </w:r>
      <w:r>
        <w:rPr>
          <w:rStyle w:val="a4"/>
          <w:rFonts w:ascii="微软雅黑" w:eastAsia="微软雅黑" w:hAnsi="微软雅黑" w:hint="eastAsia"/>
          <w:color w:val="002060"/>
        </w:rPr>
        <w:t>ICE布伦特9月原油期货涨0.8%，</w:t>
      </w:r>
      <w:r>
        <w:rPr>
          <w:rFonts w:ascii="微软雅黑" w:eastAsia="微软雅黑" w:hAnsi="微软雅黑" w:hint="eastAsia"/>
          <w:color w:val="3E3E3E"/>
        </w:rPr>
        <w:t>至46.76美元／桶，周跌7%。法国兴业银行石油分析师称，</w:t>
      </w:r>
      <w:r>
        <w:rPr>
          <w:rStyle w:val="a4"/>
          <w:rFonts w:ascii="微软雅黑" w:eastAsia="微软雅黑" w:hAnsi="微软雅黑" w:hint="eastAsia"/>
          <w:color w:val="C00000"/>
        </w:rPr>
        <w:t>看多油市明年的表现，但仍对今年剩余时间保持谨慎。</w:t>
      </w:r>
    </w:p>
    <w:p w:rsidR="006043DE" w:rsidRPr="006043DE" w:rsidRDefault="006043DE" w:rsidP="00340FEF">
      <w:pPr>
        <w:snapToGrid w:val="0"/>
        <w:spacing w:line="360" w:lineRule="auto"/>
      </w:pPr>
    </w:p>
    <w:sectPr w:rsidR="006043DE" w:rsidRPr="006043DE" w:rsidSect="00754A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43DE"/>
    <w:rsid w:val="00340FEF"/>
    <w:rsid w:val="006043DE"/>
    <w:rsid w:val="00754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3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43DE"/>
    <w:rPr>
      <w:b/>
      <w:bCs/>
    </w:rPr>
  </w:style>
</w:styles>
</file>

<file path=word/webSettings.xml><?xml version="1.0" encoding="utf-8"?>
<w:webSettings xmlns:r="http://schemas.openxmlformats.org/officeDocument/2006/relationships" xmlns:w="http://schemas.openxmlformats.org/wordprocessingml/2006/main">
  <w:divs>
    <w:div w:id="1525709617">
      <w:bodyDiv w:val="1"/>
      <w:marLeft w:val="0"/>
      <w:marRight w:val="0"/>
      <w:marTop w:val="0"/>
      <w:marBottom w:val="0"/>
      <w:divBdr>
        <w:top w:val="none" w:sz="0" w:space="0" w:color="auto"/>
        <w:left w:val="none" w:sz="0" w:space="0" w:color="auto"/>
        <w:bottom w:val="none" w:sz="0" w:space="0" w:color="auto"/>
        <w:right w:val="none" w:sz="0" w:space="0" w:color="auto"/>
      </w:divBdr>
      <w:divsChild>
        <w:div w:id="1653480125">
          <w:marLeft w:val="0"/>
          <w:marRight w:val="0"/>
          <w:marTop w:val="0"/>
          <w:marBottom w:val="0"/>
          <w:divBdr>
            <w:top w:val="none" w:sz="0" w:space="0" w:color="auto"/>
            <w:left w:val="none" w:sz="0" w:space="0" w:color="auto"/>
            <w:bottom w:val="none" w:sz="0" w:space="0" w:color="auto"/>
            <w:right w:val="none" w:sz="0" w:space="0" w:color="auto"/>
          </w:divBdr>
          <w:divsChild>
            <w:div w:id="784927464">
              <w:marLeft w:val="0"/>
              <w:marRight w:val="0"/>
              <w:marTop w:val="0"/>
              <w:marBottom w:val="0"/>
              <w:divBdr>
                <w:top w:val="none" w:sz="0" w:space="0" w:color="auto"/>
                <w:left w:val="none" w:sz="0" w:space="0" w:color="auto"/>
                <w:bottom w:val="none" w:sz="0" w:space="0" w:color="auto"/>
                <w:right w:val="none" w:sz="0" w:space="0" w:color="auto"/>
              </w:divBdr>
              <w:divsChild>
                <w:div w:id="1832525177">
                  <w:marLeft w:val="0"/>
                  <w:marRight w:val="0"/>
                  <w:marTop w:val="0"/>
                  <w:marBottom w:val="0"/>
                  <w:divBdr>
                    <w:top w:val="none" w:sz="0" w:space="0" w:color="auto"/>
                    <w:left w:val="none" w:sz="0" w:space="0" w:color="auto"/>
                    <w:bottom w:val="none" w:sz="0" w:space="0" w:color="auto"/>
                    <w:right w:val="none" w:sz="0" w:space="0" w:color="auto"/>
                  </w:divBdr>
                  <w:divsChild>
                    <w:div w:id="876087513">
                      <w:marLeft w:val="0"/>
                      <w:marRight w:val="0"/>
                      <w:marTop w:val="0"/>
                      <w:marBottom w:val="0"/>
                      <w:divBdr>
                        <w:top w:val="none" w:sz="0" w:space="0" w:color="auto"/>
                        <w:left w:val="none" w:sz="0" w:space="0" w:color="auto"/>
                        <w:bottom w:val="none" w:sz="0" w:space="0" w:color="auto"/>
                        <w:right w:val="none" w:sz="0" w:space="0" w:color="auto"/>
                      </w:divBdr>
                      <w:divsChild>
                        <w:div w:id="9917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2</cp:revision>
  <dcterms:created xsi:type="dcterms:W3CDTF">2016-07-10T23:31:00Z</dcterms:created>
  <dcterms:modified xsi:type="dcterms:W3CDTF">2016-07-10T23:41:00Z</dcterms:modified>
</cp:coreProperties>
</file>