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A8" w:rsidRPr="008F33A8" w:rsidRDefault="008F33A8" w:rsidP="00015B08">
      <w:pPr>
        <w:widowControl/>
        <w:shd w:val="clear" w:color="auto" w:fill="FFFFFF"/>
        <w:snapToGrid w:val="0"/>
        <w:spacing w:line="360" w:lineRule="auto"/>
        <w:jc w:val="center"/>
        <w:outlineLvl w:val="0"/>
        <w:rPr>
          <w:rFonts w:ascii="Microsoft YaHei" w:eastAsia="Microsoft YaHei" w:hAnsi="Microsoft YaHei" w:cs="宋体"/>
          <w:b/>
          <w:bCs/>
          <w:color w:val="000000"/>
          <w:kern w:val="36"/>
          <w:sz w:val="33"/>
          <w:szCs w:val="33"/>
        </w:rPr>
      </w:pPr>
      <w:r w:rsidRPr="008F33A8">
        <w:rPr>
          <w:rFonts w:ascii="Microsoft YaHei" w:eastAsia="Microsoft YaHei" w:hAnsi="Microsoft YaHei" w:cs="宋体" w:hint="eastAsia"/>
          <w:b/>
          <w:bCs/>
          <w:color w:val="000000"/>
          <w:kern w:val="36"/>
          <w:sz w:val="33"/>
          <w:szCs w:val="33"/>
        </w:rPr>
        <w:t>【财经早餐】2016.6.6星期一</w:t>
      </w:r>
    </w:p>
    <w:p w:rsidR="008F33A8" w:rsidRDefault="008F33A8" w:rsidP="00015B08">
      <w:pPr>
        <w:widowControl/>
        <w:shd w:val="clear" w:color="auto" w:fill="FFFFFF"/>
        <w:snapToGrid w:val="0"/>
        <w:spacing w:line="360" w:lineRule="auto"/>
        <w:jc w:val="right"/>
        <w:rPr>
          <w:rFonts w:ascii="Microsoft YaHei" w:eastAsia="Microsoft YaHei" w:hAnsi="Microsoft YaHei" w:cs="宋体"/>
          <w:color w:val="999999"/>
          <w:kern w:val="0"/>
          <w:sz w:val="18"/>
          <w:szCs w:val="18"/>
        </w:rPr>
      </w:pP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一、宏观、数据</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1、中国网：</w:t>
      </w:r>
      <w:r>
        <w:rPr>
          <w:rFonts w:ascii="Microsoft YaHei" w:eastAsia="Microsoft YaHei" w:hAnsi="Microsoft YaHei" w:hint="eastAsia"/>
          <w:color w:val="3E3E3E"/>
        </w:rPr>
        <w:t>一些人对中国可能将无法避免一场银行业危机感到恐慌，并担心将给全球经济带来明显负面溢出效应。事实上，</w:t>
      </w:r>
      <w:r>
        <w:rPr>
          <w:rStyle w:val="a6"/>
          <w:rFonts w:ascii="Microsoft YaHei" w:eastAsia="Microsoft YaHei" w:hAnsi="Microsoft YaHei" w:hint="eastAsia"/>
          <w:color w:val="C00000"/>
        </w:rPr>
        <w:t>只要中国将信贷增速放慢到可持续的水平，中国离发生潜在的银行业危机还很远。</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2、民生银行：</w:t>
      </w:r>
      <w:r>
        <w:rPr>
          <w:rStyle w:val="a6"/>
          <w:rFonts w:ascii="Microsoft YaHei" w:eastAsia="Microsoft YaHei" w:hAnsi="Microsoft YaHei" w:hint="eastAsia"/>
          <w:color w:val="C00000"/>
        </w:rPr>
        <w:t>未来中国资产管理行业在经过充分竞争后将形成三大类型的专业机构，</w:t>
      </w:r>
      <w:r>
        <w:rPr>
          <w:rFonts w:ascii="Microsoft YaHei" w:eastAsia="Microsoft YaHei" w:hAnsi="Microsoft YaHei" w:hint="eastAsia"/>
          <w:color w:val="3E3E3E"/>
        </w:rPr>
        <w:t>综合型的银行集团，凭借极强的产品设计能力而胜出的专业财富管理机构，以BAT为代表的平台型，以便捷渠道及低廉费率打通投融资需求。</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3、摩根大通朱海斌：未来财富管理无论从需求或者说家庭财富部分，都是有很大的潜力。</w:t>
      </w:r>
      <w:r>
        <w:rPr>
          <w:rFonts w:ascii="Microsoft YaHei" w:eastAsia="Microsoft YaHei" w:hAnsi="Microsoft YaHei" w:hint="eastAsia"/>
          <w:color w:val="3E3E3E"/>
        </w:rPr>
        <w:t>虽然现在储蓄率在下降，但五年之后中国的储蓄率或仍在35%左右，在全球依然是最高的层级。</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4、波士顿咨询公司：</w:t>
      </w:r>
      <w:r>
        <w:rPr>
          <w:rFonts w:ascii="Microsoft YaHei" w:eastAsia="Microsoft YaHei" w:hAnsi="Microsoft YaHei" w:hint="eastAsia"/>
          <w:color w:val="3E3E3E"/>
        </w:rPr>
        <w:t>改革开放30年中国的发展基本达到北美三分之一，全球银行家都无比羡慕中国的广阔市场。然而，目前私人银行没有很好的服务高净值客户。</w:t>
      </w:r>
      <w:r>
        <w:rPr>
          <w:rStyle w:val="a6"/>
          <w:rFonts w:ascii="Microsoft YaHei" w:eastAsia="Microsoft YaHei" w:hAnsi="Microsoft YaHei" w:hint="eastAsia"/>
          <w:color w:val="C00000"/>
        </w:rPr>
        <w:t>包括银行、保险、证券在内的全行业，加起来服务能力都不足。</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5、高盛：</w:t>
      </w:r>
      <w:r>
        <w:rPr>
          <w:rFonts w:ascii="Microsoft YaHei" w:eastAsia="Microsoft YaHei" w:hAnsi="Microsoft YaHei" w:hint="eastAsia"/>
          <w:color w:val="3E3E3E"/>
        </w:rPr>
        <w:t>经济实体部门投资收益下降，挣钱越来越难，而流动性又非常充裕，这样的情况下，很容易造成资本市场的动荡。</w:t>
      </w:r>
      <w:r>
        <w:rPr>
          <w:rStyle w:val="a6"/>
          <w:rFonts w:ascii="Microsoft YaHei" w:eastAsia="Microsoft YaHei" w:hAnsi="Microsoft YaHei" w:hint="eastAsia"/>
          <w:color w:val="002060"/>
        </w:rPr>
        <w:t>当市场出现比较大的回撤的时候，往往是把握投资机会的最好时刻。</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6、中证指数有限公司：</w:t>
      </w:r>
      <w:r>
        <w:rPr>
          <w:rStyle w:val="a6"/>
          <w:rFonts w:ascii="Microsoft YaHei" w:eastAsia="Microsoft YaHei" w:hAnsi="Microsoft YaHei" w:hint="eastAsia"/>
          <w:color w:val="C00000"/>
        </w:rPr>
        <w:t>将于6月30日正式发布中证10年期国开债指数，</w:t>
      </w:r>
      <w:r>
        <w:rPr>
          <w:rFonts w:ascii="Microsoft YaHei" w:eastAsia="Microsoft YaHei" w:hAnsi="Microsoft YaHei" w:hint="eastAsia"/>
          <w:color w:val="3E3E3E"/>
        </w:rPr>
        <w:t>旨在推进我国债券市场产品创新，为债券投资者提供新的投资标的和业绩参考。将同时发布全价指数、净价指数及利息再投资指数。</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二、房产</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lastRenderedPageBreak/>
        <w:t>1、中新网：</w:t>
      </w:r>
      <w:r>
        <w:rPr>
          <w:rFonts w:ascii="Microsoft YaHei" w:eastAsia="Microsoft YaHei" w:hAnsi="Microsoft YaHei" w:hint="eastAsia"/>
          <w:color w:val="3E3E3E"/>
        </w:rPr>
        <w:t>频频出现的“地王”成了五月当之无愧的“热搜榜第一”。房企跑步入场的“抢地大战”，就像当下炎热的气候，一再升温。</w:t>
      </w:r>
      <w:r>
        <w:rPr>
          <w:rStyle w:val="a6"/>
          <w:rFonts w:ascii="Microsoft YaHei" w:eastAsia="Microsoft YaHei" w:hAnsi="Microsoft YaHei" w:hint="eastAsia"/>
          <w:color w:val="C00000"/>
        </w:rPr>
        <w:t>截至6月2日，22座城市已经产生了总价、单价或溢价率“地王”数量高达113幅。</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2、北京日报：</w:t>
      </w:r>
      <w:r>
        <w:rPr>
          <w:rFonts w:ascii="Microsoft YaHei" w:eastAsia="Microsoft YaHei" w:hAnsi="Microsoft YaHei" w:hint="eastAsia"/>
          <w:color w:val="3E3E3E"/>
        </w:rPr>
        <w:t>毕业季临近，北京租房市场也开始迎来旺季。从房屋中介获悉，5月份本市房屋租赁市场成交量较上个月出现上涨，</w:t>
      </w:r>
      <w:r>
        <w:rPr>
          <w:rStyle w:val="a6"/>
          <w:rFonts w:ascii="Microsoft YaHei" w:eastAsia="Microsoft YaHei" w:hAnsi="Microsoft YaHei" w:hint="eastAsia"/>
          <w:color w:val="C00000"/>
        </w:rPr>
        <w:t>预计6月份将正式进入旺季，90后的成交比例也将大幅提高。</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三、市场</w:t>
      </w:r>
    </w:p>
    <w:p w:rsidR="0070402C" w:rsidRDefault="00106B29"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algun Gothic" w:hAnsi="Microsoft YaHei" w:hint="eastAsia"/>
          <w:color w:val="002060"/>
        </w:rPr>
        <w:t>1</w:t>
      </w:r>
      <w:r w:rsidR="0070402C">
        <w:rPr>
          <w:rStyle w:val="a6"/>
          <w:rFonts w:ascii="Microsoft YaHei" w:eastAsia="Microsoft YaHei" w:hAnsi="Microsoft YaHei" w:hint="eastAsia"/>
          <w:color w:val="002060"/>
        </w:rPr>
        <w:t>、银率网：</w:t>
      </w:r>
      <w:r w:rsidR="0070402C">
        <w:rPr>
          <w:rFonts w:ascii="Microsoft YaHei" w:eastAsia="Microsoft YaHei" w:hAnsi="Microsoft YaHei" w:hint="eastAsia"/>
          <w:color w:val="3E3E3E"/>
        </w:rPr>
        <w:t>5月，全国新成立的Ｐ2Ｐ平台仅1家，</w:t>
      </w:r>
      <w:r w:rsidR="0070402C">
        <w:rPr>
          <w:rStyle w:val="a6"/>
          <w:rFonts w:ascii="Microsoft YaHei" w:eastAsia="Microsoft YaHei" w:hAnsi="Microsoft YaHei" w:hint="eastAsia"/>
          <w:color w:val="C00000"/>
        </w:rPr>
        <w:t>而新增的问题平台却达200家，环比增加113％，创单月问题平台数量新高。</w:t>
      </w:r>
      <w:r w:rsidR="0070402C">
        <w:rPr>
          <w:rFonts w:ascii="Microsoft YaHei" w:eastAsia="Microsoft YaHei" w:hAnsi="Microsoft YaHei" w:hint="eastAsia"/>
          <w:color w:val="3E3E3E"/>
        </w:rPr>
        <w:t>截至2016年5月底，全国正常运营平台共2748家，问题平台累计达2061家。</w:t>
      </w:r>
    </w:p>
    <w:p w:rsidR="0070402C" w:rsidRDefault="00106B29"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algun Gothic" w:hAnsi="Microsoft YaHei" w:hint="eastAsia"/>
          <w:color w:val="002060"/>
        </w:rPr>
        <w:t>2</w:t>
      </w:r>
      <w:r w:rsidR="0070402C">
        <w:rPr>
          <w:rStyle w:val="a6"/>
          <w:rFonts w:ascii="Microsoft YaHei" w:eastAsia="Microsoft YaHei" w:hAnsi="Microsoft YaHei" w:hint="eastAsia"/>
          <w:color w:val="002060"/>
        </w:rPr>
        <w:t>、发改委主任徐绍史：</w:t>
      </w:r>
      <w:r w:rsidR="0070402C">
        <w:rPr>
          <w:rFonts w:ascii="Microsoft YaHei" w:eastAsia="Microsoft YaHei" w:hAnsi="Microsoft YaHei" w:hint="eastAsia"/>
          <w:color w:val="3E3E3E"/>
        </w:rPr>
        <w:t>中方倡导国际产能合作，</w:t>
      </w:r>
      <w:r w:rsidR="0070402C">
        <w:rPr>
          <w:rStyle w:val="a6"/>
          <w:rFonts w:ascii="Microsoft YaHei" w:eastAsia="Microsoft YaHei" w:hAnsi="Microsoft YaHei" w:hint="eastAsia"/>
          <w:color w:val="002060"/>
        </w:rPr>
        <w:t>主张把中国的优质产能和优势装备，同发达国家的关键技术和先进装备结合起来，</w:t>
      </w:r>
      <w:r w:rsidR="0070402C">
        <w:rPr>
          <w:rFonts w:ascii="Microsoft YaHei" w:eastAsia="Microsoft YaHei" w:hAnsi="Microsoft YaHei" w:hint="eastAsia"/>
          <w:color w:val="3E3E3E"/>
        </w:rPr>
        <w:t>同发展中国家城市化、工业化需求对接起来，为各国企业合作共赢创造新的机遇。</w:t>
      </w:r>
    </w:p>
    <w:p w:rsidR="0070402C" w:rsidRDefault="00106B29"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algun Gothic" w:hAnsi="Microsoft YaHei" w:hint="eastAsia"/>
          <w:color w:val="002060"/>
        </w:rPr>
        <w:t>3</w:t>
      </w:r>
      <w:r w:rsidR="0070402C">
        <w:rPr>
          <w:rStyle w:val="a6"/>
          <w:rFonts w:ascii="Microsoft YaHei" w:eastAsia="Microsoft YaHei" w:hAnsi="Microsoft YaHei" w:hint="eastAsia"/>
          <w:color w:val="002060"/>
        </w:rPr>
        <w:t>、我的钢铁：</w:t>
      </w:r>
      <w:r w:rsidR="0070402C">
        <w:rPr>
          <w:rFonts w:ascii="Microsoft YaHei" w:eastAsia="Microsoft YaHei" w:hAnsi="Microsoft YaHei" w:hint="eastAsia"/>
          <w:color w:val="3E3E3E"/>
        </w:rPr>
        <w:t>最近一周，</w:t>
      </w:r>
      <w:r w:rsidR="0070402C">
        <w:rPr>
          <w:rStyle w:val="a6"/>
          <w:rFonts w:ascii="Microsoft YaHei" w:eastAsia="Microsoft YaHei" w:hAnsi="Microsoft YaHei" w:hint="eastAsia"/>
          <w:color w:val="002060"/>
        </w:rPr>
        <w:t>国内现货钢价综合指数报收于87.43点，周跌2.02%。</w:t>
      </w:r>
      <w:r w:rsidR="0070402C">
        <w:rPr>
          <w:rFonts w:ascii="Microsoft YaHei" w:eastAsia="Microsoft YaHei" w:hAnsi="Microsoft YaHei" w:hint="eastAsia"/>
          <w:color w:val="3E3E3E"/>
        </w:rPr>
        <w:t>目前，一些钢厂正在加大检修力度，部分资源的供应有偏紧的苗头，商家继续杀跌的情绪可能会有所缓和。</w:t>
      </w:r>
    </w:p>
    <w:p w:rsidR="0070402C" w:rsidRDefault="00106B29"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algun Gothic" w:hAnsi="Microsoft YaHei" w:hint="eastAsia"/>
          <w:color w:val="002060"/>
        </w:rPr>
        <w:t>4</w:t>
      </w:r>
      <w:r w:rsidR="0070402C">
        <w:rPr>
          <w:rStyle w:val="a6"/>
          <w:rFonts w:ascii="Microsoft YaHei" w:eastAsia="Microsoft YaHei" w:hAnsi="Microsoft YaHei" w:hint="eastAsia"/>
          <w:color w:val="002060"/>
        </w:rPr>
        <w:t>、新华社：</w:t>
      </w:r>
      <w:r w:rsidR="0070402C">
        <w:rPr>
          <w:rFonts w:ascii="Microsoft YaHei" w:eastAsia="Microsoft YaHei" w:hAnsi="Microsoft YaHei" w:hint="eastAsia"/>
          <w:color w:val="3E3E3E"/>
        </w:rPr>
        <w:t>互联网研究机构艾瑞咨询近日发布《2016年中国无人机行业研究报告》。我国小型民用无人机市场进入快速成长期，</w:t>
      </w:r>
      <w:r w:rsidR="0070402C">
        <w:rPr>
          <w:rStyle w:val="a6"/>
          <w:rFonts w:ascii="Microsoft YaHei" w:eastAsia="Microsoft YaHei" w:hAnsi="Microsoft YaHei" w:hint="eastAsia"/>
          <w:color w:val="C00000"/>
        </w:rPr>
        <w:t>预计2025年国内无人机市场总规模将达750亿元，</w:t>
      </w:r>
      <w:r w:rsidR="0070402C">
        <w:rPr>
          <w:rFonts w:ascii="Microsoft YaHei" w:eastAsia="Microsoft YaHei" w:hAnsi="Microsoft YaHei" w:hint="eastAsia"/>
          <w:color w:val="3E3E3E"/>
        </w:rPr>
        <w:t>航拍、农林、安防等将成为无人机应用的热门领域。</w:t>
      </w:r>
    </w:p>
    <w:p w:rsidR="0070402C" w:rsidRDefault="00273390"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맑은 고딕" w:hAnsi="Microsoft YaHei" w:hint="eastAsia"/>
          <w:color w:val="002060"/>
        </w:rPr>
        <w:lastRenderedPageBreak/>
        <w:t>5</w:t>
      </w:r>
      <w:r w:rsidR="0070402C">
        <w:rPr>
          <w:rStyle w:val="a6"/>
          <w:rFonts w:ascii="Microsoft YaHei" w:eastAsia="Microsoft YaHei" w:hAnsi="Microsoft YaHei" w:hint="eastAsia"/>
          <w:color w:val="002060"/>
        </w:rPr>
        <w:t>、新华网：</w:t>
      </w:r>
      <w:r w:rsidR="0070402C">
        <w:rPr>
          <w:rFonts w:ascii="Microsoft YaHei" w:eastAsia="Microsoft YaHei" w:hAnsi="Microsoft YaHei" w:hint="eastAsia"/>
          <w:color w:val="3E3E3E"/>
        </w:rPr>
        <w:t>从中国农业发展银行贵州省分行获悉，</w:t>
      </w:r>
      <w:r w:rsidR="0070402C">
        <w:rPr>
          <w:rStyle w:val="a6"/>
          <w:rFonts w:ascii="Microsoft YaHei" w:eastAsia="Microsoft YaHei" w:hAnsi="Microsoft YaHei" w:hint="eastAsia"/>
          <w:color w:val="002060"/>
        </w:rPr>
        <w:t>农发行在“十三五”时期将投放贷款1500亿元以上，</w:t>
      </w:r>
      <w:r w:rsidR="0070402C">
        <w:rPr>
          <w:rFonts w:ascii="Microsoft YaHei" w:eastAsia="Microsoft YaHei" w:hAnsi="Microsoft YaHei" w:hint="eastAsia"/>
          <w:color w:val="3E3E3E"/>
        </w:rPr>
        <w:t>重点支持贵州50个国家扶贫开发重点县和16个集中连片特困地区贫困县摘帽。</w:t>
      </w:r>
    </w:p>
    <w:p w:rsidR="0070402C" w:rsidRDefault="00273390"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맑은 고딕" w:hAnsi="Microsoft YaHei" w:hint="eastAsia"/>
          <w:color w:val="002060"/>
        </w:rPr>
        <w:t>6</w:t>
      </w:r>
      <w:r w:rsidR="0070402C">
        <w:rPr>
          <w:rStyle w:val="a6"/>
          <w:rFonts w:ascii="Microsoft YaHei" w:eastAsia="Microsoft YaHei" w:hAnsi="Microsoft YaHei" w:hint="eastAsia"/>
          <w:color w:val="002060"/>
        </w:rPr>
        <w:t>、新华社：</w:t>
      </w:r>
      <w:r w:rsidR="0070402C">
        <w:rPr>
          <w:rFonts w:ascii="Microsoft YaHei" w:eastAsia="Microsoft YaHei" w:hAnsi="Microsoft YaHei" w:hint="eastAsia"/>
          <w:color w:val="3E3E3E"/>
        </w:rPr>
        <w:t>“</w:t>
      </w:r>
      <w:r w:rsidR="0070402C">
        <w:rPr>
          <w:rStyle w:val="a6"/>
          <w:rFonts w:ascii="Microsoft YaHei" w:eastAsia="Microsoft YaHei" w:hAnsi="Microsoft YaHei" w:hint="eastAsia"/>
          <w:color w:val="002060"/>
        </w:rPr>
        <w:t>十三五”期间，我国将实现能源终端消费环节替代散烧煤、燃油消费约1.3亿吨标煤。</w:t>
      </w:r>
      <w:r w:rsidR="0070402C">
        <w:rPr>
          <w:rFonts w:ascii="Microsoft YaHei" w:eastAsia="Microsoft YaHei" w:hAnsi="Microsoft YaHei" w:hint="eastAsia"/>
          <w:color w:val="3E3E3E"/>
        </w:rPr>
        <w:t>电能替代是一种清洁化的能源消费方式，有利于减少大气污染，但其成本较高，必须有政策支持才能实施。</w:t>
      </w:r>
    </w:p>
    <w:p w:rsidR="0070402C" w:rsidRDefault="00273390"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맑은 고딕" w:hAnsi="Microsoft YaHei" w:hint="eastAsia"/>
          <w:color w:val="002060"/>
        </w:rPr>
        <w:t>7</w:t>
      </w:r>
      <w:r w:rsidR="0070402C">
        <w:rPr>
          <w:rStyle w:val="a6"/>
          <w:rFonts w:ascii="Microsoft YaHei" w:eastAsia="Microsoft YaHei" w:hAnsi="Microsoft YaHei" w:hint="eastAsia"/>
          <w:color w:val="002060"/>
        </w:rPr>
        <w:t>、重庆日报：</w:t>
      </w:r>
      <w:r w:rsidR="0070402C">
        <w:rPr>
          <w:rFonts w:ascii="Microsoft YaHei" w:eastAsia="Microsoft YaHei" w:hAnsi="Microsoft YaHei" w:hint="eastAsia"/>
          <w:color w:val="3E3E3E"/>
        </w:rPr>
        <w:t>日前长安新能源汽车公司在国内首家通过ISO26262专项认证，这标志着长安新能源公司的整车电控技术能力、开发流程达到国内领先水平。</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四、股市</w:t>
      </w:r>
    </w:p>
    <w:p w:rsidR="0070402C" w:rsidRDefault="00273390"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맑은 고딕" w:hAnsi="Microsoft YaHei" w:hint="eastAsia"/>
          <w:color w:val="002060"/>
        </w:rPr>
        <w:t>1</w:t>
      </w:r>
      <w:r w:rsidR="0070402C">
        <w:rPr>
          <w:rStyle w:val="a6"/>
          <w:rFonts w:ascii="Microsoft YaHei" w:eastAsia="Microsoft YaHei" w:hAnsi="Microsoft YaHei" w:hint="eastAsia"/>
          <w:color w:val="002060"/>
        </w:rPr>
        <w:t>、沪深交易所：</w:t>
      </w:r>
      <w:r w:rsidR="0070402C">
        <w:rPr>
          <w:rFonts w:ascii="Microsoft YaHei" w:eastAsia="Microsoft YaHei" w:hAnsi="Microsoft YaHei" w:hint="eastAsia"/>
          <w:color w:val="3E3E3E"/>
        </w:rPr>
        <w:t>本周两市将有16家公司共计5.53亿股限售股解禁，解禁市值68.76亿。其中，</w:t>
      </w:r>
      <w:r w:rsidR="0070402C">
        <w:rPr>
          <w:rStyle w:val="a6"/>
          <w:rFonts w:ascii="Microsoft YaHei" w:eastAsia="Microsoft YaHei" w:hAnsi="Microsoft YaHei" w:hint="eastAsia"/>
          <w:color w:val="002060"/>
        </w:rPr>
        <w:t>有12家公司限售股在6月6日周一解禁，解禁市值55.97亿，</w:t>
      </w:r>
      <w:r w:rsidR="0070402C">
        <w:rPr>
          <w:rFonts w:ascii="Microsoft YaHei" w:eastAsia="Microsoft YaHei" w:hAnsi="Microsoft YaHei" w:hint="eastAsia"/>
          <w:color w:val="3E3E3E"/>
        </w:rPr>
        <w:t>占全周解禁市值的81.4%，解禁压力集中度高。</w:t>
      </w:r>
    </w:p>
    <w:p w:rsidR="0070402C" w:rsidRDefault="00273390"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맑은 고딕" w:hAnsi="Microsoft YaHei" w:hint="eastAsia"/>
          <w:color w:val="002060"/>
        </w:rPr>
        <w:t>2</w:t>
      </w:r>
      <w:r w:rsidR="0070402C">
        <w:rPr>
          <w:rStyle w:val="a6"/>
          <w:rFonts w:ascii="Microsoft YaHei" w:eastAsia="Microsoft YaHei" w:hAnsi="Microsoft YaHei" w:hint="eastAsia"/>
          <w:color w:val="002060"/>
        </w:rPr>
        <w:t>、一财：</w:t>
      </w:r>
      <w:r w:rsidR="0070402C">
        <w:rPr>
          <w:rFonts w:ascii="Microsoft YaHei" w:eastAsia="Microsoft YaHei" w:hAnsi="Microsoft YaHei" w:hint="eastAsia"/>
          <w:color w:val="3E3E3E"/>
        </w:rPr>
        <w:t>今年前五个月，股票型基金平均收益率－12.15%，混合型基金为－10.48%。</w:t>
      </w:r>
      <w:r w:rsidR="0070402C">
        <w:rPr>
          <w:rStyle w:val="a6"/>
          <w:rFonts w:ascii="Microsoft YaHei" w:eastAsia="Microsoft YaHei" w:hAnsi="Microsoft YaHei" w:hint="eastAsia"/>
          <w:color w:val="002060"/>
        </w:rPr>
        <w:t>在可统计的1544只混合型开放式基金中，只有462只基金取得正收益，</w:t>
      </w:r>
      <w:r w:rsidR="0070402C">
        <w:rPr>
          <w:rFonts w:ascii="Microsoft YaHei" w:eastAsia="Microsoft YaHei" w:hAnsi="Microsoft YaHei" w:hint="eastAsia"/>
          <w:color w:val="3E3E3E"/>
        </w:rPr>
        <w:t>其中收益超过10%的有21只。</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五、国际</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1、海通证券姜超：</w:t>
      </w:r>
      <w:r>
        <w:rPr>
          <w:rFonts w:ascii="Microsoft YaHei" w:eastAsia="Microsoft YaHei" w:hAnsi="Microsoft YaHei" w:hint="eastAsia"/>
          <w:color w:val="3E3E3E"/>
        </w:rPr>
        <w:t>美国加息的落空意味着流动性预期改善，而风险偏好有望短期修复，对股市等风险资产有利。但就业低迷意味着经济不佳，宽松延长意味着通胀难降，全球滞胀风险的上升意味着应以能源、农产品等涨价类资产展开配置，</w:t>
      </w:r>
      <w:r>
        <w:rPr>
          <w:rStyle w:val="a6"/>
          <w:rFonts w:ascii="Microsoft YaHei" w:eastAsia="Microsoft YaHei" w:hAnsi="Microsoft YaHei" w:hint="eastAsia"/>
          <w:color w:val="C00000"/>
        </w:rPr>
        <w:t>而黄金仍是保值首选。</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六、外汇</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lastRenderedPageBreak/>
        <w:t>1、上周五，在岸人民币兑美元16:30收盘，报6.5855，跌0.1%，</w:t>
      </w:r>
      <w:r>
        <w:rPr>
          <w:rFonts w:ascii="Microsoft YaHei" w:eastAsia="Microsoft YaHei" w:hAnsi="Microsoft YaHei" w:hint="eastAsia"/>
          <w:color w:val="3E3E3E"/>
        </w:rPr>
        <w:t>周跌0.39%；人民币中间价报6.5793，周涨0.46%。兴业银行鲁政委认为，美国加息时点将延后但不会改变，这样一个趋势未来人民币的汇率仍然将承压。</w:t>
      </w:r>
    </w:p>
    <w:p w:rsidR="0070402C" w:rsidRDefault="00273390"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B050"/>
        </w:rPr>
        <w:t>七</w:t>
      </w:r>
      <w:r w:rsidR="0070402C">
        <w:rPr>
          <w:rStyle w:val="a6"/>
          <w:rFonts w:ascii="Microsoft YaHei" w:eastAsia="Microsoft YaHei" w:hAnsi="Microsoft YaHei" w:hint="eastAsia"/>
          <w:color w:val="00B050"/>
        </w:rPr>
        <w:t>、石油</w:t>
      </w:r>
    </w:p>
    <w:p w:rsidR="0070402C" w:rsidRDefault="0070402C" w:rsidP="00015B08">
      <w:pPr>
        <w:pStyle w:val="a5"/>
        <w:shd w:val="clear" w:color="auto" w:fill="FFFFFF"/>
        <w:snapToGrid w:val="0"/>
        <w:spacing w:before="0" w:beforeAutospacing="0" w:after="0" w:afterAutospacing="0" w:line="360" w:lineRule="auto"/>
        <w:ind w:firstLine="480"/>
        <w:rPr>
          <w:rFonts w:ascii="Helvetica" w:hAnsi="Helvetica"/>
          <w:color w:val="3E3E3E"/>
        </w:rPr>
      </w:pPr>
      <w:r>
        <w:rPr>
          <w:rStyle w:val="a6"/>
          <w:rFonts w:ascii="Microsoft YaHei" w:eastAsia="Microsoft YaHei" w:hAnsi="Microsoft YaHei" w:hint="eastAsia"/>
          <w:color w:val="002060"/>
        </w:rPr>
        <w:t>1、上周五，WTI 7月原油期货跌1.1%，</w:t>
      </w:r>
      <w:r>
        <w:rPr>
          <w:rFonts w:ascii="Microsoft YaHei" w:eastAsia="Microsoft YaHei" w:hAnsi="Microsoft YaHei" w:hint="eastAsia"/>
          <w:color w:val="3E3E3E"/>
        </w:rPr>
        <w:t>至48.62美元／桶，周跌1.4%；</w:t>
      </w:r>
      <w:r>
        <w:rPr>
          <w:rStyle w:val="a6"/>
          <w:rFonts w:ascii="Microsoft YaHei" w:eastAsia="Microsoft YaHei" w:hAnsi="Microsoft YaHei" w:hint="eastAsia"/>
          <w:color w:val="002060"/>
        </w:rPr>
        <w:t>ICE布伦特8月原油期货跌0.8%，</w:t>
      </w:r>
      <w:r>
        <w:rPr>
          <w:rFonts w:ascii="Microsoft YaHei" w:eastAsia="Microsoft YaHei" w:hAnsi="Microsoft YaHei" w:hint="eastAsia"/>
          <w:color w:val="3E3E3E"/>
        </w:rPr>
        <w:t>至49.64美元／桶，周跌0.6%。安迅思称，受到全球多地区供应中断，以及投行预测影响，短期来看油价呈现上扬趋势。</w:t>
      </w:r>
    </w:p>
    <w:p w:rsidR="008F33A8" w:rsidRPr="0070402C" w:rsidRDefault="008F33A8" w:rsidP="00015B08">
      <w:pPr>
        <w:widowControl/>
        <w:shd w:val="clear" w:color="auto" w:fill="FFFFFF"/>
        <w:snapToGrid w:val="0"/>
        <w:spacing w:line="360" w:lineRule="auto"/>
        <w:jc w:val="left"/>
        <w:rPr>
          <w:rFonts w:ascii="Microsoft YaHei" w:eastAsia="Microsoft YaHei" w:hAnsi="Microsoft YaHei" w:cs="宋体"/>
          <w:color w:val="333333"/>
          <w:kern w:val="0"/>
          <w:szCs w:val="21"/>
        </w:rPr>
      </w:pPr>
    </w:p>
    <w:p w:rsidR="00C7620E" w:rsidRDefault="0070402C" w:rsidP="00015B08">
      <w:pPr>
        <w:snapToGrid w:val="0"/>
        <w:spacing w:line="360" w:lineRule="auto"/>
        <w:rPr>
          <w:rStyle w:val="a6"/>
          <w:rFonts w:ascii="Microsoft YaHei" w:eastAsia="Malgun Gothic" w:hAnsi="Microsoft YaHei"/>
          <w:color w:val="3E3E3E"/>
          <w:shd w:val="clear" w:color="auto" w:fill="FFFFFF"/>
          <w:lang w:eastAsia="ko-KR"/>
        </w:rPr>
      </w:pPr>
      <w:r>
        <w:rPr>
          <w:rStyle w:val="a6"/>
          <w:rFonts w:ascii="Microsoft YaHei" w:eastAsia="Malgun Gothic" w:hAnsi="Microsoft YaHei" w:hint="eastAsia"/>
          <w:color w:val="3E3E3E"/>
          <w:shd w:val="clear" w:color="auto" w:fill="FFFFFF"/>
          <w:lang w:eastAsia="ko-KR"/>
        </w:rPr>
        <w:t>[</w:t>
      </w:r>
      <w:r>
        <w:rPr>
          <w:rStyle w:val="a6"/>
          <w:rFonts w:ascii="Microsoft YaHei" w:eastAsia="Microsoft YaHei" w:hAnsi="Microsoft YaHei" w:hint="eastAsia"/>
          <w:color w:val="3E3E3E"/>
          <w:shd w:val="clear" w:color="auto" w:fill="FFFFFF"/>
        </w:rPr>
        <w:t>财经早餐</w:t>
      </w:r>
      <w:r>
        <w:rPr>
          <w:rStyle w:val="a6"/>
          <w:rFonts w:ascii="Microsoft YaHei" w:eastAsia="Malgun Gothic" w:hAnsi="Microsoft YaHei" w:hint="eastAsia"/>
          <w:color w:val="3E3E3E"/>
          <w:shd w:val="clear" w:color="auto" w:fill="FFFFFF"/>
          <w:lang w:eastAsia="ko-KR"/>
        </w:rPr>
        <w:t xml:space="preserve">] </w:t>
      </w:r>
      <w:r>
        <w:rPr>
          <w:rStyle w:val="a6"/>
          <w:rFonts w:ascii="Microsoft YaHei" w:eastAsia="Microsoft YaHei" w:hAnsi="Microsoft YaHei" w:hint="eastAsia"/>
          <w:color w:val="3E3E3E"/>
          <w:shd w:val="clear" w:color="auto" w:fill="FFFFFF"/>
        </w:rPr>
        <w:t>微信号：Femorning</w:t>
      </w:r>
    </w:p>
    <w:p w:rsidR="0070402C" w:rsidRPr="0070402C" w:rsidRDefault="0070402C" w:rsidP="00015B08">
      <w:pPr>
        <w:snapToGrid w:val="0"/>
        <w:spacing w:line="360" w:lineRule="auto"/>
        <w:rPr>
          <w:rFonts w:eastAsia="Malgun Gothic"/>
          <w:lang w:eastAsia="ko-KR"/>
        </w:rPr>
      </w:pPr>
    </w:p>
    <w:sectPr w:rsidR="0070402C" w:rsidRPr="0070402C" w:rsidSect="00C762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D2A" w:rsidRDefault="002C6D2A" w:rsidP="0070402C">
      <w:r>
        <w:separator/>
      </w:r>
    </w:p>
  </w:endnote>
  <w:endnote w:type="continuationSeparator" w:id="1">
    <w:p w:rsidR="002C6D2A" w:rsidRDefault="002C6D2A" w:rsidP="00704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Malgun Gothic">
    <w:altName w:val="Times New Roman"/>
    <w:panose1 w:val="00000000000000000000"/>
    <w:charset w:val="00"/>
    <w:family w:val="roman"/>
    <w:notTrueType/>
    <w:pitch w:val="default"/>
    <w:sig w:usb0="00000000" w:usb1="00000000" w:usb2="00000000" w:usb3="00000000" w:csb0="0000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D2A" w:rsidRDefault="002C6D2A" w:rsidP="0070402C">
      <w:r>
        <w:separator/>
      </w:r>
    </w:p>
  </w:footnote>
  <w:footnote w:type="continuationSeparator" w:id="1">
    <w:p w:rsidR="002C6D2A" w:rsidRDefault="002C6D2A" w:rsidP="007040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33A8"/>
    <w:rsid w:val="00015B08"/>
    <w:rsid w:val="00103395"/>
    <w:rsid w:val="00106B29"/>
    <w:rsid w:val="00273390"/>
    <w:rsid w:val="002C6D2A"/>
    <w:rsid w:val="005911AD"/>
    <w:rsid w:val="00663BBB"/>
    <w:rsid w:val="0070402C"/>
    <w:rsid w:val="00713272"/>
    <w:rsid w:val="008F33A8"/>
    <w:rsid w:val="00932EFE"/>
    <w:rsid w:val="00A903FF"/>
    <w:rsid w:val="00C7620E"/>
    <w:rsid w:val="00CD3CAD"/>
    <w:rsid w:val="00DD4573"/>
    <w:rsid w:val="00EA31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20E"/>
    <w:pPr>
      <w:widowControl w:val="0"/>
      <w:jc w:val="both"/>
    </w:pPr>
  </w:style>
  <w:style w:type="paragraph" w:styleId="1">
    <w:name w:val="heading 1"/>
    <w:basedOn w:val="a"/>
    <w:link w:val="1Char"/>
    <w:uiPriority w:val="9"/>
    <w:qFormat/>
    <w:rsid w:val="008F33A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F33A8"/>
    <w:rPr>
      <w:rFonts w:ascii="宋体" w:eastAsia="宋体" w:hAnsi="宋体" w:cs="宋体"/>
      <w:b/>
      <w:bCs/>
      <w:kern w:val="36"/>
      <w:sz w:val="48"/>
      <w:szCs w:val="48"/>
    </w:rPr>
  </w:style>
  <w:style w:type="character" w:customStyle="1" w:styleId="writer">
    <w:name w:val="writer"/>
    <w:basedOn w:val="a0"/>
    <w:rsid w:val="008F33A8"/>
  </w:style>
  <w:style w:type="character" w:styleId="a3">
    <w:name w:val="Hyperlink"/>
    <w:basedOn w:val="a0"/>
    <w:uiPriority w:val="99"/>
    <w:semiHidden/>
    <w:unhideWhenUsed/>
    <w:rsid w:val="008F33A8"/>
    <w:rPr>
      <w:color w:val="0000FF"/>
      <w:u w:val="single"/>
    </w:rPr>
  </w:style>
  <w:style w:type="character" w:customStyle="1" w:styleId="time">
    <w:name w:val="time"/>
    <w:basedOn w:val="a0"/>
    <w:rsid w:val="008F33A8"/>
  </w:style>
  <w:style w:type="character" w:customStyle="1" w:styleId="tag">
    <w:name w:val="tag"/>
    <w:basedOn w:val="a0"/>
    <w:rsid w:val="008F33A8"/>
  </w:style>
  <w:style w:type="character" w:customStyle="1" w:styleId="read-num">
    <w:name w:val="read-num"/>
    <w:basedOn w:val="a0"/>
    <w:rsid w:val="008F33A8"/>
  </w:style>
  <w:style w:type="character" w:styleId="a4">
    <w:name w:val="Emphasis"/>
    <w:basedOn w:val="a0"/>
    <w:uiPriority w:val="20"/>
    <w:qFormat/>
    <w:rsid w:val="008F33A8"/>
    <w:rPr>
      <w:i/>
      <w:iCs/>
    </w:rPr>
  </w:style>
  <w:style w:type="character" w:customStyle="1" w:styleId="comment-num">
    <w:name w:val="comment-num"/>
    <w:basedOn w:val="a0"/>
    <w:rsid w:val="008F33A8"/>
  </w:style>
  <w:style w:type="paragraph" w:styleId="a5">
    <w:name w:val="Normal (Web)"/>
    <w:basedOn w:val="a"/>
    <w:uiPriority w:val="99"/>
    <w:semiHidden/>
    <w:unhideWhenUsed/>
    <w:rsid w:val="008F33A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33A8"/>
    <w:rPr>
      <w:b/>
      <w:bCs/>
    </w:rPr>
  </w:style>
  <w:style w:type="paragraph" w:styleId="a7">
    <w:name w:val="header"/>
    <w:basedOn w:val="a"/>
    <w:link w:val="Char"/>
    <w:uiPriority w:val="99"/>
    <w:semiHidden/>
    <w:unhideWhenUsed/>
    <w:rsid w:val="0070402C"/>
    <w:pPr>
      <w:pBdr>
        <w:bottom w:val="single" w:sz="6" w:space="1" w:color="auto"/>
      </w:pBdr>
      <w:tabs>
        <w:tab w:val="center" w:pos="4153"/>
        <w:tab w:val="right" w:pos="8306"/>
      </w:tabs>
      <w:snapToGrid w:val="0"/>
      <w:jc w:val="center"/>
    </w:pPr>
    <w:rPr>
      <w:sz w:val="18"/>
      <w:szCs w:val="18"/>
    </w:rPr>
  </w:style>
  <w:style w:type="character" w:customStyle="1" w:styleId="Char">
    <w:name w:val="머리글 Char"/>
    <w:basedOn w:val="a0"/>
    <w:link w:val="a7"/>
    <w:uiPriority w:val="99"/>
    <w:semiHidden/>
    <w:rsid w:val="0070402C"/>
    <w:rPr>
      <w:sz w:val="18"/>
      <w:szCs w:val="18"/>
    </w:rPr>
  </w:style>
  <w:style w:type="paragraph" w:styleId="a8">
    <w:name w:val="footer"/>
    <w:basedOn w:val="a"/>
    <w:link w:val="Char0"/>
    <w:uiPriority w:val="99"/>
    <w:semiHidden/>
    <w:unhideWhenUsed/>
    <w:rsid w:val="0070402C"/>
    <w:pPr>
      <w:tabs>
        <w:tab w:val="center" w:pos="4153"/>
        <w:tab w:val="right" w:pos="8306"/>
      </w:tabs>
      <w:snapToGrid w:val="0"/>
      <w:jc w:val="left"/>
    </w:pPr>
    <w:rPr>
      <w:sz w:val="18"/>
      <w:szCs w:val="18"/>
    </w:rPr>
  </w:style>
  <w:style w:type="character" w:customStyle="1" w:styleId="Char0">
    <w:name w:val="바닥글 Char"/>
    <w:basedOn w:val="a0"/>
    <w:link w:val="a8"/>
    <w:uiPriority w:val="99"/>
    <w:semiHidden/>
    <w:rsid w:val="0070402C"/>
    <w:rPr>
      <w:sz w:val="18"/>
      <w:szCs w:val="18"/>
    </w:rPr>
  </w:style>
</w:styles>
</file>

<file path=word/webSettings.xml><?xml version="1.0" encoding="utf-8"?>
<w:webSettings xmlns:r="http://schemas.openxmlformats.org/officeDocument/2006/relationships" xmlns:w="http://schemas.openxmlformats.org/wordprocessingml/2006/main">
  <w:divs>
    <w:div w:id="102849417">
      <w:bodyDiv w:val="1"/>
      <w:marLeft w:val="0"/>
      <w:marRight w:val="0"/>
      <w:marTop w:val="0"/>
      <w:marBottom w:val="0"/>
      <w:divBdr>
        <w:top w:val="none" w:sz="0" w:space="0" w:color="auto"/>
        <w:left w:val="none" w:sz="0" w:space="0" w:color="auto"/>
        <w:bottom w:val="none" w:sz="0" w:space="0" w:color="auto"/>
        <w:right w:val="none" w:sz="0" w:space="0" w:color="auto"/>
      </w:divBdr>
      <w:divsChild>
        <w:div w:id="58528689">
          <w:marLeft w:val="0"/>
          <w:marRight w:val="0"/>
          <w:marTop w:val="0"/>
          <w:marBottom w:val="0"/>
          <w:divBdr>
            <w:top w:val="none" w:sz="0" w:space="11" w:color="auto"/>
            <w:left w:val="none" w:sz="0" w:space="0" w:color="auto"/>
            <w:bottom w:val="single" w:sz="6" w:space="11" w:color="E7E7E7"/>
            <w:right w:val="none" w:sz="0" w:space="0" w:color="auto"/>
          </w:divBdr>
          <w:divsChild>
            <w:div w:id="1441489200">
              <w:marLeft w:val="0"/>
              <w:marRight w:val="0"/>
              <w:marTop w:val="0"/>
              <w:marBottom w:val="0"/>
              <w:divBdr>
                <w:top w:val="none" w:sz="0" w:space="0" w:color="auto"/>
                <w:left w:val="none" w:sz="0" w:space="0" w:color="auto"/>
                <w:bottom w:val="none" w:sz="0" w:space="0" w:color="auto"/>
                <w:right w:val="none" w:sz="0" w:space="0" w:color="auto"/>
              </w:divBdr>
              <w:divsChild>
                <w:div w:id="38044457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4035888">
          <w:marLeft w:val="0"/>
          <w:marRight w:val="0"/>
          <w:marTop w:val="0"/>
          <w:marBottom w:val="360"/>
          <w:divBdr>
            <w:top w:val="none" w:sz="0" w:space="0" w:color="auto"/>
            <w:left w:val="none" w:sz="0" w:space="0" w:color="auto"/>
            <w:bottom w:val="none" w:sz="0" w:space="0" w:color="auto"/>
            <w:right w:val="none" w:sz="0" w:space="0" w:color="auto"/>
          </w:divBdr>
        </w:div>
      </w:divsChild>
    </w:div>
    <w:div w:id="2421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457</Words>
  <Characters>1553</Characters>
  <Application>Microsoft Office Word</Application>
  <DocSecurity>0</DocSecurity>
  <Lines>50</Lines>
  <Paragraphs>8</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cui</cp:lastModifiedBy>
  <cp:revision>13</cp:revision>
  <dcterms:created xsi:type="dcterms:W3CDTF">2016-06-05T22:50:00Z</dcterms:created>
  <dcterms:modified xsi:type="dcterms:W3CDTF">2016-06-06T07:35:00Z</dcterms:modified>
</cp:coreProperties>
</file>