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9B" w:rsidRDefault="008A6057" w:rsidP="00AA3B58">
      <w:pPr>
        <w:adjustRightInd w:val="0"/>
        <w:snapToGrid w:val="0"/>
        <w:spacing w:line="360" w:lineRule="auto"/>
        <w:jc w:val="center"/>
        <w:rPr>
          <w:rFonts w:ascii="微软雅黑" w:eastAsia="Malgun Gothic" w:hAnsi="微软雅黑" w:hint="eastAsia"/>
          <w:sz w:val="36"/>
          <w:szCs w:val="36"/>
          <w:lang w:eastAsia="ko-KR"/>
        </w:rPr>
      </w:pPr>
      <w:r>
        <w:rPr>
          <w:rFonts w:ascii="微软雅黑" w:eastAsia="微软雅黑" w:hAnsi="微软雅黑" w:hint="eastAsia"/>
          <w:sz w:val="36"/>
          <w:szCs w:val="36"/>
        </w:rPr>
        <w:t>【财经早餐】2016.8.22星期一</w:t>
      </w:r>
    </w:p>
    <w:p w:rsidR="008A6057" w:rsidRDefault="008A6057" w:rsidP="00AA3B58">
      <w:pPr>
        <w:adjustRightInd w:val="0"/>
        <w:snapToGrid w:val="0"/>
        <w:spacing w:line="360" w:lineRule="auto"/>
        <w:rPr>
          <w:rFonts w:ascii="微软雅黑" w:eastAsia="Malgun Gothic" w:hAnsi="微软雅黑" w:hint="eastAsia"/>
          <w:sz w:val="36"/>
          <w:szCs w:val="36"/>
          <w:lang w:eastAsia="ko-KR"/>
        </w:rPr>
      </w:pP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一、宏观、数据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一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财：</w:t>
      </w:r>
      <w:r>
        <w:rPr>
          <w:rFonts w:ascii="微软雅黑" w:eastAsia="微软雅黑" w:hAnsi="微软雅黑" w:hint="eastAsia"/>
          <w:color w:val="3E3E3E"/>
        </w:rPr>
        <w:t>央行调查统计</w:t>
      </w:r>
      <w:proofErr w:type="gramStart"/>
      <w:r>
        <w:rPr>
          <w:rFonts w:ascii="微软雅黑" w:eastAsia="微软雅黑" w:hAnsi="微软雅黑" w:hint="eastAsia"/>
          <w:color w:val="3E3E3E"/>
        </w:rPr>
        <w:t>司司长盛松成</w:t>
      </w:r>
      <w:proofErr w:type="gramEnd"/>
      <w:r>
        <w:rPr>
          <w:rFonts w:ascii="微软雅黑" w:eastAsia="微软雅黑" w:hAnsi="微软雅黑" w:hint="eastAsia"/>
          <w:color w:val="3E3E3E"/>
        </w:rPr>
        <w:t>表示，比起M2，</w:t>
      </w:r>
      <w:r>
        <w:rPr>
          <w:rStyle w:val="a4"/>
          <w:rFonts w:ascii="微软雅黑" w:eastAsia="微软雅黑" w:hAnsi="微软雅黑" w:hint="eastAsia"/>
          <w:color w:val="C00000"/>
        </w:rPr>
        <w:t>当前要关注另一个更为重要的金融宏观调控指标——社会融资规模。</w:t>
      </w:r>
      <w:r>
        <w:rPr>
          <w:rFonts w:ascii="微软雅黑" w:eastAsia="微软雅黑" w:hAnsi="微软雅黑" w:hint="eastAsia"/>
          <w:color w:val="3E3E3E"/>
        </w:rPr>
        <w:t>另外，降税费优于降息，更有助化解企业“流动性陷阱”。中国在相当长的时间内，财政赤字可以有所突破。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2、中新网：</w:t>
      </w:r>
      <w:r>
        <w:rPr>
          <w:rFonts w:ascii="微软雅黑" w:eastAsia="微软雅黑" w:hAnsi="微软雅黑" w:hint="eastAsia"/>
          <w:color w:val="3E3E3E"/>
        </w:rPr>
        <w:t>国家行政学院经济学部主任张占斌认为，</w:t>
      </w:r>
      <w:r>
        <w:rPr>
          <w:rStyle w:val="a4"/>
          <w:rFonts w:ascii="微软雅黑" w:eastAsia="微软雅黑" w:hAnsi="微软雅黑" w:hint="eastAsia"/>
          <w:color w:val="C00000"/>
        </w:rPr>
        <w:t>目前东北民营经济的发展仍遭遇“淤阻点”，</w:t>
      </w:r>
      <w:r>
        <w:rPr>
          <w:rFonts w:ascii="微软雅黑" w:eastAsia="微软雅黑" w:hAnsi="微软雅黑" w:hint="eastAsia"/>
          <w:color w:val="3E3E3E"/>
        </w:rPr>
        <w:t>包括经济形势下滑压力大，民资不想投；政府的管理服务不到位，民企不敢投；融资难融资</w:t>
      </w:r>
      <w:proofErr w:type="gramStart"/>
      <w:r>
        <w:rPr>
          <w:rFonts w:ascii="微软雅黑" w:eastAsia="微软雅黑" w:hAnsi="微软雅黑" w:hint="eastAsia"/>
          <w:color w:val="3E3E3E"/>
        </w:rPr>
        <w:t>贵问题</w:t>
      </w:r>
      <w:proofErr w:type="gramEnd"/>
      <w:r>
        <w:rPr>
          <w:rFonts w:ascii="微软雅黑" w:eastAsia="微软雅黑" w:hAnsi="微软雅黑" w:hint="eastAsia"/>
          <w:color w:val="3E3E3E"/>
        </w:rPr>
        <w:t>突出，民企无钱投。</w:t>
      </w:r>
    </w:p>
    <w:p w:rsidR="008A6057" w:rsidRDefault="00B747A2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3</w:t>
      </w:r>
      <w:r w:rsidR="008A6057">
        <w:rPr>
          <w:rStyle w:val="a4"/>
          <w:rFonts w:ascii="微软雅黑" w:eastAsia="微软雅黑" w:hAnsi="微软雅黑" w:hint="eastAsia"/>
          <w:color w:val="002060"/>
        </w:rPr>
        <w:t>、新华社：</w:t>
      </w:r>
      <w:r w:rsidR="008A6057">
        <w:rPr>
          <w:rFonts w:ascii="微软雅黑" w:eastAsia="微软雅黑" w:hAnsi="微软雅黑" w:hint="eastAsia"/>
          <w:color w:val="3E3E3E"/>
        </w:rPr>
        <w:t>截至8月19日，</w:t>
      </w:r>
      <w:r w:rsidR="008A6057">
        <w:rPr>
          <w:rStyle w:val="a4"/>
          <w:rFonts w:ascii="微软雅黑" w:eastAsia="微软雅黑" w:hAnsi="微软雅黑" w:hint="eastAsia"/>
          <w:color w:val="C00000"/>
        </w:rPr>
        <w:t>第一批中央环保督察现场督察阶段全部结束。</w:t>
      </w:r>
      <w:r w:rsidR="008A6057">
        <w:rPr>
          <w:rFonts w:ascii="微软雅黑" w:eastAsia="微软雅黑" w:hAnsi="微软雅黑" w:hint="eastAsia"/>
          <w:color w:val="3E3E3E"/>
        </w:rPr>
        <w:t>7月中旬，督察组分别进驻内蒙古、黑龙江、江苏、江西、河南、广西、云南、宁夏8省区。目前，8省区罚款总额或可过亿元，一批重污染企业已被关停。</w:t>
      </w:r>
    </w:p>
    <w:p w:rsidR="008A6057" w:rsidRDefault="00B747A2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4</w:t>
      </w:r>
      <w:r w:rsidR="008A6057">
        <w:rPr>
          <w:rStyle w:val="a4"/>
          <w:rFonts w:ascii="微软雅黑" w:eastAsia="微软雅黑" w:hAnsi="微软雅黑" w:hint="eastAsia"/>
          <w:color w:val="002060"/>
        </w:rPr>
        <w:t>、</w:t>
      </w:r>
      <w:proofErr w:type="gramStart"/>
      <w:r w:rsidR="008A6057">
        <w:rPr>
          <w:rStyle w:val="a4"/>
          <w:rFonts w:ascii="微软雅黑" w:eastAsia="微软雅黑" w:hAnsi="微软雅黑" w:hint="eastAsia"/>
          <w:color w:val="002060"/>
        </w:rPr>
        <w:t>网信办</w:t>
      </w:r>
      <w:proofErr w:type="gramEnd"/>
      <w:r w:rsidR="008A6057">
        <w:rPr>
          <w:rStyle w:val="a4"/>
          <w:rFonts w:ascii="微软雅黑" w:eastAsia="微软雅黑" w:hAnsi="微软雅黑" w:hint="eastAsia"/>
          <w:color w:val="002060"/>
        </w:rPr>
        <w:t>特约专家祝华新：</w:t>
      </w:r>
      <w:r w:rsidR="008A6057">
        <w:rPr>
          <w:rStyle w:val="a4"/>
          <w:rFonts w:ascii="微软雅黑" w:eastAsia="微软雅黑" w:hAnsi="微软雅黑" w:hint="eastAsia"/>
          <w:color w:val="C00000"/>
        </w:rPr>
        <w:t>基于互联网大数据的评级，国内相关机构尚处于探索阶段。</w:t>
      </w:r>
      <w:r w:rsidR="008A6057">
        <w:rPr>
          <w:rFonts w:ascii="微软雅黑" w:eastAsia="微软雅黑" w:hAnsi="微软雅黑" w:hint="eastAsia"/>
          <w:color w:val="3E3E3E"/>
        </w:rPr>
        <w:t>制约评价的主要因素包括数据资源的占有量、评级标准的开发和推广，以及评级机构的权威性等，目前同时具备这些条件的评级机构并不多。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二、房产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1、中金：</w:t>
      </w:r>
      <w:r>
        <w:rPr>
          <w:rStyle w:val="a4"/>
          <w:rFonts w:ascii="微软雅黑" w:eastAsia="微软雅黑" w:hAnsi="微软雅黑" w:hint="eastAsia"/>
          <w:color w:val="C00000"/>
        </w:rPr>
        <w:t>房地产开发资金来源反映的投资意愿仍较弱。</w:t>
      </w:r>
      <w:r>
        <w:rPr>
          <w:rFonts w:ascii="微软雅黑" w:eastAsia="微软雅黑" w:hAnsi="微软雅黑" w:hint="eastAsia"/>
          <w:color w:val="3E3E3E"/>
        </w:rPr>
        <w:t>尽管当前商品房销售依然相对良好，商品房销售大幅下滑的</w:t>
      </w:r>
      <w:proofErr w:type="gramStart"/>
      <w:r>
        <w:rPr>
          <w:rFonts w:ascii="微软雅黑" w:eastAsia="微软雅黑" w:hAnsi="微软雅黑" w:hint="eastAsia"/>
          <w:color w:val="3E3E3E"/>
        </w:rPr>
        <w:t>时点仍</w:t>
      </w:r>
      <w:proofErr w:type="gramEnd"/>
      <w:r>
        <w:rPr>
          <w:rFonts w:ascii="微软雅黑" w:eastAsia="微软雅黑" w:hAnsi="微软雅黑" w:hint="eastAsia"/>
          <w:color w:val="3E3E3E"/>
        </w:rPr>
        <w:t>不明确，但是从方向来看下半年逐步走弱，尤其是四季度明显放缓的可能性大。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三、市场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lastRenderedPageBreak/>
        <w:t>1、财新：</w:t>
      </w:r>
      <w:r>
        <w:rPr>
          <w:rFonts w:ascii="微软雅黑" w:eastAsia="微软雅黑" w:hAnsi="微软雅黑" w:hint="eastAsia"/>
          <w:color w:val="3E3E3E"/>
        </w:rPr>
        <w:t>财政部宋秋玲表示，</w:t>
      </w:r>
      <w:r>
        <w:rPr>
          <w:rStyle w:val="a4"/>
          <w:rFonts w:ascii="微软雅黑" w:eastAsia="微软雅黑" w:hAnsi="微软雅黑" w:hint="eastAsia"/>
          <w:color w:val="C00000"/>
        </w:rPr>
        <w:t>中国新能源汽车财政补贴政策近期将要调整。</w:t>
      </w:r>
      <w:r>
        <w:rPr>
          <w:rFonts w:ascii="微软雅黑" w:eastAsia="微软雅黑" w:hAnsi="微软雅黑" w:hint="eastAsia"/>
          <w:color w:val="3E3E3E"/>
        </w:rPr>
        <w:t>普惠财政补贴容易使企业患上依赖症。未来要提高进入推荐车型目录的企业和产品的门槛，技术落后、市场认可度低的产品将拿不到补贴。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2、新华社：</w:t>
      </w:r>
      <w:r>
        <w:rPr>
          <w:rFonts w:ascii="微软雅黑" w:eastAsia="微软雅黑" w:hAnsi="微软雅黑" w:hint="eastAsia"/>
          <w:color w:val="3E3E3E"/>
        </w:rPr>
        <w:t>近日，</w:t>
      </w:r>
      <w:r>
        <w:rPr>
          <w:rStyle w:val="a4"/>
          <w:rFonts w:ascii="微软雅黑" w:eastAsia="微软雅黑" w:hAnsi="微软雅黑" w:hint="eastAsia"/>
          <w:color w:val="C00000"/>
        </w:rPr>
        <w:t>哈尔滨、沈阳、大连、长春市政府共同发布《2016太阳岛论坛暨东北振兴论坛东北四城市太阳岛宣言》，</w:t>
      </w:r>
      <w:r>
        <w:rPr>
          <w:rFonts w:ascii="微软雅黑" w:eastAsia="微软雅黑" w:hAnsi="微软雅黑" w:hint="eastAsia"/>
          <w:color w:val="3E3E3E"/>
        </w:rPr>
        <w:t>计划通过加强联动、建设世界级城市群等五方面联合行动，打造区域经济共同体。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3、中证网：</w:t>
      </w:r>
      <w:r>
        <w:rPr>
          <w:rFonts w:ascii="微软雅黑" w:eastAsia="微软雅黑" w:hAnsi="微软雅黑" w:hint="eastAsia"/>
          <w:color w:val="3E3E3E"/>
        </w:rPr>
        <w:t>从山西省</w:t>
      </w:r>
      <w:proofErr w:type="gramStart"/>
      <w:r>
        <w:rPr>
          <w:rFonts w:ascii="微软雅黑" w:eastAsia="微软雅黑" w:hAnsi="微软雅黑" w:hint="eastAsia"/>
          <w:color w:val="3E3E3E"/>
        </w:rPr>
        <w:t>经信委获悉</w:t>
      </w:r>
      <w:proofErr w:type="gramEnd"/>
      <w:r>
        <w:rPr>
          <w:rFonts w:ascii="微软雅黑" w:eastAsia="微软雅黑" w:hAnsi="微软雅黑" w:hint="eastAsia"/>
          <w:color w:val="3E3E3E"/>
        </w:rPr>
        <w:t>，</w:t>
      </w:r>
      <w:r>
        <w:rPr>
          <w:rStyle w:val="a4"/>
          <w:rFonts w:ascii="微软雅黑" w:eastAsia="微软雅黑" w:hAnsi="微软雅黑" w:hint="eastAsia"/>
          <w:color w:val="C00000"/>
        </w:rPr>
        <w:t>山西省将向社会资本放开售电业务，</w:t>
      </w:r>
      <w:r>
        <w:rPr>
          <w:rFonts w:ascii="微软雅黑" w:eastAsia="微软雅黑" w:hAnsi="微软雅黑" w:hint="eastAsia"/>
          <w:color w:val="3E3E3E"/>
        </w:rPr>
        <w:t>进一步引入竞争机制，鼓励越来越多的市场主体参与售电市场。从2018年至2020年，山西省将全面放开符合电力直接交易用户参与中长期交易。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4、财新：</w:t>
      </w:r>
      <w:r>
        <w:rPr>
          <w:rFonts w:ascii="微软雅黑" w:eastAsia="微软雅黑" w:hAnsi="微软雅黑" w:hint="eastAsia"/>
          <w:color w:val="3E3E3E"/>
        </w:rPr>
        <w:t>印尼雅加达至万隆高速铁路项目于日前正式获得全线建设许可证。</w:t>
      </w:r>
      <w:r>
        <w:rPr>
          <w:rStyle w:val="a4"/>
          <w:rFonts w:ascii="微软雅黑" w:eastAsia="微软雅黑" w:hAnsi="微软雅黑" w:hint="eastAsia"/>
          <w:color w:val="C00000"/>
        </w:rPr>
        <w:t>中方企业联合体包括项目牵头方中铁总公司，</w:t>
      </w:r>
      <w:r>
        <w:rPr>
          <w:rFonts w:ascii="微软雅黑" w:eastAsia="微软雅黑" w:hAnsi="微软雅黑" w:hint="eastAsia"/>
          <w:color w:val="3E3E3E"/>
        </w:rPr>
        <w:t>设计施工单位中国中铁、中国电建；机车车辆制造公司中国中车；通信信号公司中国通号。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5、我的钢铁：</w:t>
      </w:r>
      <w:r>
        <w:rPr>
          <w:rFonts w:ascii="微软雅黑" w:eastAsia="微软雅黑" w:hAnsi="微软雅黑" w:hint="eastAsia"/>
          <w:color w:val="3E3E3E"/>
        </w:rPr>
        <w:t>最近一周，</w:t>
      </w:r>
      <w:r>
        <w:rPr>
          <w:rStyle w:val="a4"/>
          <w:rFonts w:ascii="微软雅黑" w:eastAsia="微软雅黑" w:hAnsi="微软雅黑" w:hint="eastAsia"/>
          <w:color w:val="C00000"/>
        </w:rPr>
        <w:t>国内现货钢</w:t>
      </w:r>
      <w:proofErr w:type="gramStart"/>
      <w:r>
        <w:rPr>
          <w:rStyle w:val="a4"/>
          <w:rFonts w:ascii="微软雅黑" w:eastAsia="微软雅黑" w:hAnsi="微软雅黑" w:hint="eastAsia"/>
          <w:color w:val="C00000"/>
        </w:rPr>
        <w:t>价综合</w:t>
      </w:r>
      <w:proofErr w:type="gramEnd"/>
      <w:r>
        <w:rPr>
          <w:rStyle w:val="a4"/>
          <w:rFonts w:ascii="微软雅黑" w:eastAsia="微软雅黑" w:hAnsi="微软雅黑" w:hint="eastAsia"/>
          <w:color w:val="C00000"/>
        </w:rPr>
        <w:t>指数报收于99.2点，一周上涨1.72%。</w:t>
      </w:r>
      <w:r>
        <w:rPr>
          <w:rFonts w:ascii="微软雅黑" w:eastAsia="微软雅黑" w:hAnsi="微软雅黑" w:hint="eastAsia"/>
          <w:color w:val="3E3E3E"/>
        </w:rPr>
        <w:t>目前，黑色系期货品种的价格震荡起伏。</w:t>
      </w:r>
      <w:proofErr w:type="gramStart"/>
      <w:r>
        <w:rPr>
          <w:rFonts w:ascii="微软雅黑" w:eastAsia="微软雅黑" w:hAnsi="微软雅黑" w:hint="eastAsia"/>
          <w:color w:val="3E3E3E"/>
        </w:rPr>
        <w:t>虽然钢市高位</w:t>
      </w:r>
      <w:proofErr w:type="gramEnd"/>
      <w:r>
        <w:rPr>
          <w:rFonts w:ascii="微软雅黑" w:eastAsia="微软雅黑" w:hAnsi="微软雅黑" w:hint="eastAsia"/>
          <w:color w:val="3E3E3E"/>
        </w:rPr>
        <w:t>成交的阻力加大，但在低库存和成本抬高的因素推动下，</w:t>
      </w:r>
      <w:proofErr w:type="gramStart"/>
      <w:r>
        <w:rPr>
          <w:rFonts w:ascii="微软雅黑" w:eastAsia="微软雅黑" w:hAnsi="微软雅黑" w:hint="eastAsia"/>
          <w:color w:val="3E3E3E"/>
        </w:rPr>
        <w:t>钢市还是</w:t>
      </w:r>
      <w:proofErr w:type="gramEnd"/>
      <w:r>
        <w:rPr>
          <w:rFonts w:ascii="微软雅黑" w:eastAsia="微软雅黑" w:hAnsi="微软雅黑" w:hint="eastAsia"/>
          <w:color w:val="3E3E3E"/>
        </w:rPr>
        <w:t>震荡偏强的格局。</w:t>
      </w:r>
    </w:p>
    <w:p w:rsidR="008A6057" w:rsidRDefault="00AA3B58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Theme="minorEastAsia" w:hAnsi="微软雅黑" w:hint="eastAsia"/>
          <w:color w:val="002060"/>
        </w:rPr>
        <w:t>6</w:t>
      </w:r>
      <w:r w:rsidR="008A6057">
        <w:rPr>
          <w:rStyle w:val="a4"/>
          <w:rFonts w:ascii="微软雅黑" w:eastAsia="微软雅黑" w:hAnsi="微软雅黑" w:hint="eastAsia"/>
          <w:color w:val="002060"/>
        </w:rPr>
        <w:t>、新三板：</w:t>
      </w:r>
      <w:r w:rsidR="008A6057">
        <w:rPr>
          <w:rFonts w:ascii="微软雅黑" w:eastAsia="微软雅黑" w:hAnsi="微软雅黑" w:hint="eastAsia"/>
          <w:color w:val="3E3E3E"/>
        </w:rPr>
        <w:t>上周（8.15－8.19），新增240家挂牌公司，较前一周少增加156家；成交金额26.78亿，环比减少19.27%。</w:t>
      </w:r>
      <w:r w:rsidR="008A6057">
        <w:rPr>
          <w:rStyle w:val="a4"/>
          <w:rFonts w:ascii="微软雅黑" w:eastAsia="微软雅黑" w:hAnsi="微软雅黑" w:hint="eastAsia"/>
          <w:color w:val="C00000"/>
        </w:rPr>
        <w:t>截至目前，新三板挂牌公司总数达8781家。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四、股市</w:t>
      </w:r>
    </w:p>
    <w:p w:rsidR="008A6057" w:rsidRDefault="00B747A2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1</w:t>
      </w:r>
      <w:r w:rsidR="008A6057">
        <w:rPr>
          <w:rStyle w:val="a4"/>
          <w:rFonts w:ascii="微软雅黑" w:eastAsia="微软雅黑" w:hAnsi="微软雅黑" w:hint="eastAsia"/>
          <w:color w:val="002060"/>
        </w:rPr>
        <w:t>、沪深交易所：</w:t>
      </w:r>
      <w:r w:rsidR="008A6057">
        <w:rPr>
          <w:rFonts w:ascii="微软雅黑" w:eastAsia="微软雅黑" w:hAnsi="微软雅黑" w:hint="eastAsia"/>
          <w:color w:val="3E3E3E"/>
        </w:rPr>
        <w:t>截至19日上周最后一个交易日，</w:t>
      </w:r>
      <w:r w:rsidR="008A6057">
        <w:rPr>
          <w:rStyle w:val="a4"/>
          <w:rFonts w:ascii="微软雅黑" w:eastAsia="微软雅黑" w:hAnsi="微软雅黑" w:hint="eastAsia"/>
          <w:color w:val="C00000"/>
        </w:rPr>
        <w:t>沪深股市流通</w:t>
      </w:r>
      <w:proofErr w:type="gramStart"/>
      <w:r w:rsidR="008A6057">
        <w:rPr>
          <w:rStyle w:val="a4"/>
          <w:rFonts w:ascii="微软雅黑" w:eastAsia="微软雅黑" w:hAnsi="微软雅黑" w:hint="eastAsia"/>
          <w:color w:val="C00000"/>
        </w:rPr>
        <w:t>市值报</w:t>
      </w:r>
      <w:proofErr w:type="gramEnd"/>
      <w:r w:rsidR="008A6057">
        <w:rPr>
          <w:rStyle w:val="a4"/>
          <w:rFonts w:ascii="微软雅黑" w:eastAsia="微软雅黑" w:hAnsi="微软雅黑" w:hint="eastAsia"/>
          <w:color w:val="C00000"/>
        </w:rPr>
        <w:t>38.51</w:t>
      </w:r>
      <w:proofErr w:type="gramStart"/>
      <w:r w:rsidR="008A6057">
        <w:rPr>
          <w:rStyle w:val="a4"/>
          <w:rFonts w:ascii="微软雅黑" w:eastAsia="微软雅黑" w:hAnsi="微软雅黑" w:hint="eastAsia"/>
          <w:color w:val="C00000"/>
        </w:rPr>
        <w:t>万亿</w:t>
      </w:r>
      <w:proofErr w:type="gramEnd"/>
      <w:r w:rsidR="008A6057">
        <w:rPr>
          <w:rStyle w:val="a4"/>
          <w:rFonts w:ascii="微软雅黑" w:eastAsia="微软雅黑" w:hAnsi="微软雅黑" w:hint="eastAsia"/>
          <w:color w:val="C00000"/>
        </w:rPr>
        <w:t>，一周增加2.57%。</w:t>
      </w:r>
      <w:r w:rsidR="008A6057">
        <w:rPr>
          <w:rFonts w:ascii="微软雅黑" w:eastAsia="微软雅黑" w:hAnsi="微软雅黑" w:hint="eastAsia"/>
          <w:color w:val="3E3E3E"/>
        </w:rPr>
        <w:t>两市股票平均价格10.46元，周涨2.85%。沪市上市公司1121家，平均市盈率为15.51；深市上市公司1800家，平均市盈率41.95。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lastRenderedPageBreak/>
        <w:t>五、国际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1、瑞信：</w:t>
      </w:r>
      <w:proofErr w:type="gramStart"/>
      <w:r>
        <w:rPr>
          <w:rFonts w:ascii="微软雅黑" w:eastAsia="微软雅黑" w:hAnsi="微软雅黑" w:hint="eastAsia"/>
          <w:color w:val="3E3E3E"/>
        </w:rPr>
        <w:t>耶伦在</w:t>
      </w:r>
      <w:proofErr w:type="gramEnd"/>
      <w:r>
        <w:rPr>
          <w:rFonts w:ascii="微软雅黑" w:eastAsia="微软雅黑" w:hAnsi="微软雅黑" w:hint="eastAsia"/>
          <w:color w:val="3E3E3E"/>
        </w:rPr>
        <w:t>本周五的讲话中可能会厘清加息路线图。日本银行目前的政策工具箱中已经没有什么储备，迫切需要发掘新的宽松方式。预期日本央行会重新部署政策目标和政策架构，</w:t>
      </w:r>
      <w:r>
        <w:rPr>
          <w:rStyle w:val="a4"/>
          <w:rFonts w:ascii="微软雅黑" w:eastAsia="微软雅黑" w:hAnsi="微软雅黑" w:hint="eastAsia"/>
          <w:color w:val="C00000"/>
        </w:rPr>
        <w:t>如果成真，日元有进一步的升值空间。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2、花旗：</w:t>
      </w:r>
      <w:r>
        <w:rPr>
          <w:rFonts w:ascii="微软雅黑" w:eastAsia="微软雅黑" w:hAnsi="微软雅黑" w:hint="eastAsia"/>
          <w:color w:val="3E3E3E"/>
        </w:rPr>
        <w:t>由于央行的干预，金融系统中的传统关系已被打破，市场中所有的一切都以货币政策“马首是瞻”，</w:t>
      </w:r>
      <w:r>
        <w:rPr>
          <w:rStyle w:val="a4"/>
          <w:rFonts w:ascii="微软雅黑" w:eastAsia="微软雅黑" w:hAnsi="微软雅黑" w:hint="eastAsia"/>
          <w:color w:val="C00000"/>
        </w:rPr>
        <w:t>整个体系已出现可能导致崩溃的裂痕。</w:t>
      </w:r>
      <w:r>
        <w:rPr>
          <w:rFonts w:ascii="微软雅黑" w:eastAsia="微软雅黑" w:hAnsi="微软雅黑" w:hint="eastAsia"/>
          <w:color w:val="3E3E3E"/>
        </w:rPr>
        <w:t>目前，有7大市场“怪象”，包括违约率已不再重要，波动率被压制等。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3、汇通网：</w:t>
      </w:r>
      <w:r>
        <w:rPr>
          <w:rFonts w:ascii="微软雅黑" w:eastAsia="微软雅黑" w:hAnsi="微软雅黑" w:hint="eastAsia"/>
          <w:color w:val="3E3E3E"/>
        </w:rPr>
        <w:t>2012年，蒙古国首次发行美元计价债券；4年后，蒙古国本币陷入断崖式贬值，近乎崩盘，现钞供给告急。业内人士表示，蒙古国经济动荡是一面镜子，</w:t>
      </w:r>
      <w:r>
        <w:rPr>
          <w:rStyle w:val="a4"/>
          <w:rFonts w:ascii="微软雅黑" w:eastAsia="微软雅黑" w:hAnsi="微软雅黑" w:hint="eastAsia"/>
          <w:color w:val="C00000"/>
        </w:rPr>
        <w:t>它反映出全球多家央行实施近乎放纵的宽松货币政策所带来的恶果。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4、上周五，波罗的海干散货指数涨0.15%，报683点，</w:t>
      </w:r>
      <w:r>
        <w:rPr>
          <w:rFonts w:ascii="微软雅黑" w:eastAsia="微软雅黑" w:hAnsi="微软雅黑" w:hint="eastAsia"/>
          <w:color w:val="3E3E3E"/>
        </w:rPr>
        <w:t>周涨1.79%。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六、外汇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1、上周五，在岸人民币兑美元16:30收盘，报6.65，</w:t>
      </w:r>
      <w:r>
        <w:rPr>
          <w:rFonts w:ascii="微软雅黑" w:eastAsia="微软雅黑" w:hAnsi="微软雅黑" w:hint="eastAsia"/>
          <w:color w:val="3E3E3E"/>
        </w:rPr>
        <w:t>跌0.27%，周跌0.08%。</w:t>
      </w:r>
      <w:r>
        <w:rPr>
          <w:rStyle w:val="a4"/>
          <w:rFonts w:ascii="微软雅黑" w:eastAsia="微软雅黑" w:hAnsi="微软雅黑" w:hint="eastAsia"/>
          <w:color w:val="002060"/>
        </w:rPr>
        <w:t>人民币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中间价报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6.6211，</w:t>
      </w:r>
      <w:r>
        <w:rPr>
          <w:rFonts w:ascii="微软雅黑" w:eastAsia="微软雅黑" w:hAnsi="微软雅黑" w:hint="eastAsia"/>
          <w:color w:val="3E3E3E"/>
        </w:rPr>
        <w:t>周涨0.5%。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2、穆迪：</w:t>
      </w:r>
      <w:r>
        <w:rPr>
          <w:rFonts w:ascii="微软雅黑" w:eastAsia="微软雅黑" w:hAnsi="微软雅黑" w:hint="eastAsia"/>
          <w:color w:val="3E3E3E"/>
        </w:rPr>
        <w:t>如果人民币对美元较2016年初贬值10%，中国55家受评的高收益非金融房地产和非房地企业中，82%有充足的缓冲空间和措施应对负面影响。</w:t>
      </w:r>
      <w:r>
        <w:rPr>
          <w:rStyle w:val="a4"/>
          <w:rFonts w:ascii="微软雅黑" w:eastAsia="微软雅黑" w:hAnsi="微软雅黑" w:hint="eastAsia"/>
          <w:color w:val="C00000"/>
        </w:rPr>
        <w:t>未来12个月内人民币的任何贬值将很可能处于可控范围内。</w:t>
      </w:r>
    </w:p>
    <w:p w:rsidR="008A6057" w:rsidRDefault="00B747A2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Gulim" w:eastAsiaTheme="minorEastAsia" w:hAnsi="Gulim" w:cs="Gulim"/>
          <w:color w:val="00B050"/>
        </w:rPr>
        <w:t>七</w:t>
      </w:r>
      <w:r w:rsidR="008A6057">
        <w:rPr>
          <w:rStyle w:val="a4"/>
          <w:rFonts w:ascii="微软雅黑" w:eastAsia="微软雅黑" w:hAnsi="微软雅黑" w:hint="eastAsia"/>
          <w:color w:val="00B050"/>
        </w:rPr>
        <w:t>、石油</w:t>
      </w:r>
    </w:p>
    <w:p w:rsidR="008A6057" w:rsidRDefault="008A6057" w:rsidP="00AA3B5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1、上周五，WTI9月原油期货涨0.6%，</w:t>
      </w:r>
      <w:r>
        <w:rPr>
          <w:rFonts w:ascii="微软雅黑" w:eastAsia="微软雅黑" w:hAnsi="微软雅黑" w:hint="eastAsia"/>
          <w:color w:val="3E3E3E"/>
        </w:rPr>
        <w:t>至48.52美元／桶，周涨9.1%；</w:t>
      </w:r>
      <w:r>
        <w:rPr>
          <w:rStyle w:val="a4"/>
          <w:rFonts w:ascii="微软雅黑" w:eastAsia="微软雅黑" w:hAnsi="微软雅黑" w:hint="eastAsia"/>
          <w:color w:val="002060"/>
        </w:rPr>
        <w:t>ICE布伦特10月原油期货跌0.02%，</w:t>
      </w:r>
      <w:r>
        <w:rPr>
          <w:rFonts w:ascii="微软雅黑" w:eastAsia="微软雅黑" w:hAnsi="微软雅黑" w:hint="eastAsia"/>
          <w:color w:val="3E3E3E"/>
        </w:rPr>
        <w:t>至50.88美元／桶，周涨8.3%。彭博社数据显示，4月份的多哈谈判无果而终之后，</w:t>
      </w:r>
      <w:r>
        <w:rPr>
          <w:rStyle w:val="a4"/>
          <w:rFonts w:ascii="微软雅黑" w:eastAsia="微软雅黑" w:hAnsi="微软雅黑" w:hint="eastAsia"/>
          <w:color w:val="C00000"/>
        </w:rPr>
        <w:t>全球油市供给过剩进一步加剧。</w:t>
      </w:r>
    </w:p>
    <w:p w:rsidR="008A6057" w:rsidRPr="008A6057" w:rsidRDefault="008A6057" w:rsidP="00AA3B58">
      <w:pPr>
        <w:adjustRightInd w:val="0"/>
        <w:snapToGrid w:val="0"/>
        <w:spacing w:line="360" w:lineRule="auto"/>
        <w:rPr>
          <w:rFonts w:eastAsia="Malgun Gothic"/>
        </w:rPr>
      </w:pPr>
    </w:p>
    <w:sectPr w:rsidR="008A6057" w:rsidRPr="008A6057" w:rsidSect="0010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057"/>
    <w:rsid w:val="00106D9B"/>
    <w:rsid w:val="008A6057"/>
    <w:rsid w:val="00AA3B58"/>
    <w:rsid w:val="00B7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3</cp:revision>
  <dcterms:created xsi:type="dcterms:W3CDTF">2016-08-21T23:29:00Z</dcterms:created>
  <dcterms:modified xsi:type="dcterms:W3CDTF">2016-08-21T23:40:00Z</dcterms:modified>
</cp:coreProperties>
</file>