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28A" w:rsidRPr="009A1EB7" w:rsidRDefault="00DD257B" w:rsidP="00DD257B">
      <w:pPr>
        <w:widowControl/>
        <w:shd w:val="clear" w:color="auto" w:fill="FFFFFF"/>
        <w:spacing w:line="360" w:lineRule="auto"/>
        <w:jc w:val="center"/>
        <w:outlineLvl w:val="0"/>
        <w:rPr>
          <w:rFonts w:ascii="Gulim" w:eastAsia="Gulim" w:hAnsi="Gulim" w:cs="Tahoma"/>
          <w:kern w:val="36"/>
          <w:sz w:val="27"/>
          <w:szCs w:val="27"/>
          <w:lang w:eastAsia="ko-KR"/>
        </w:rPr>
      </w:pPr>
      <w:r w:rsidRPr="009A1EB7">
        <w:rPr>
          <w:rFonts w:ascii="Gulim" w:eastAsia="Gulim" w:hAnsi="Gulim" w:cs="SimSun" w:hint="eastAsia"/>
          <w:b/>
          <w:bCs/>
          <w:kern w:val="36"/>
          <w:sz w:val="27"/>
          <w:lang w:eastAsia="ko-KR"/>
        </w:rPr>
        <w:t>中, 2015년</w:t>
      </w:r>
      <w:r w:rsidR="00900D34" w:rsidRPr="009A1EB7">
        <w:rPr>
          <w:rFonts w:ascii="Gulim" w:eastAsia="Gulim" w:hAnsi="Gulim" w:cs="SimSun" w:hint="eastAsia"/>
          <w:b/>
          <w:bCs/>
          <w:kern w:val="36"/>
          <w:sz w:val="27"/>
          <w:lang w:eastAsia="ko-KR"/>
        </w:rPr>
        <w:t xml:space="preserve"> 1~10</w:t>
      </w:r>
      <w:r w:rsidRPr="009A1EB7">
        <w:rPr>
          <w:rFonts w:ascii="Gulim" w:eastAsia="Gulim" w:hAnsi="Gulim" w:cs="SimSun" w:hint="eastAsia"/>
          <w:b/>
          <w:bCs/>
          <w:kern w:val="36"/>
          <w:sz w:val="27"/>
          <w:lang w:eastAsia="ko-KR"/>
        </w:rPr>
        <w:t xml:space="preserve">월 수출입총액 </w:t>
      </w:r>
      <w:r w:rsidR="0064228A" w:rsidRPr="009A1EB7">
        <w:rPr>
          <w:rFonts w:ascii="Gulim" w:eastAsia="Gulim" w:hAnsi="Gulim" w:cs="Tahoma"/>
          <w:b/>
          <w:bCs/>
          <w:kern w:val="36"/>
          <w:sz w:val="27"/>
          <w:lang w:eastAsia="ko-KR"/>
        </w:rPr>
        <w:t>19.93</w:t>
      </w:r>
      <w:r w:rsidRPr="009A1EB7">
        <w:rPr>
          <w:rFonts w:ascii="Gulim" w:eastAsia="Gulim" w:hAnsi="Gulim" w:cs="Gulim" w:hint="eastAsia"/>
          <w:b/>
          <w:bCs/>
          <w:kern w:val="36"/>
          <w:sz w:val="27"/>
          <w:lang w:eastAsia="ko-KR"/>
        </w:rPr>
        <w:t>만억위안에 달해</w:t>
      </w:r>
    </w:p>
    <w:p w:rsidR="0064228A" w:rsidRPr="00DD257B" w:rsidRDefault="00DD257B" w:rsidP="00DD257B">
      <w:pPr>
        <w:widowControl/>
        <w:shd w:val="clear" w:color="auto" w:fill="FFFFFF"/>
        <w:snapToGrid w:val="0"/>
        <w:spacing w:line="360" w:lineRule="auto"/>
        <w:jc w:val="center"/>
        <w:rPr>
          <w:rFonts w:ascii="Gulim" w:eastAsia="Gulim" w:hAnsi="Gulim" w:cs="SimSun"/>
          <w:b/>
          <w:bCs/>
          <w:color w:val="515151"/>
          <w:kern w:val="0"/>
          <w:szCs w:val="21"/>
          <w:lang w:eastAsia="ko-KR"/>
        </w:rPr>
      </w:pPr>
      <w:r w:rsidRPr="00DD257B">
        <w:rPr>
          <w:rFonts w:ascii="Gulim" w:eastAsia="Gulim" w:hAnsi="Gulim" w:cs="Gulim" w:hint="eastAsia"/>
          <w:b/>
          <w:bCs/>
          <w:color w:val="515151"/>
          <w:kern w:val="0"/>
          <w:szCs w:val="21"/>
          <w:lang w:eastAsia="ko-KR"/>
        </w:rPr>
        <w:t xml:space="preserve">발표시간 : </w:t>
      </w:r>
      <w:r w:rsidR="0064228A" w:rsidRPr="00DD257B">
        <w:rPr>
          <w:rFonts w:ascii="Gulim" w:eastAsia="Gulim" w:hAnsi="Gulim" w:cs="SimSun" w:hint="eastAsia"/>
          <w:b/>
          <w:bCs/>
          <w:color w:val="515151"/>
          <w:kern w:val="0"/>
          <w:szCs w:val="21"/>
          <w:lang w:eastAsia="ko-KR"/>
        </w:rPr>
        <w:t>2015-11-08</w:t>
      </w:r>
    </w:p>
    <w:p w:rsidR="0064228A" w:rsidRPr="00DD257B" w:rsidRDefault="0064228A" w:rsidP="00DD257B">
      <w:pPr>
        <w:widowControl/>
        <w:shd w:val="clear" w:color="auto" w:fill="FFFFFF"/>
        <w:snapToGrid w:val="0"/>
        <w:spacing w:line="360" w:lineRule="auto"/>
        <w:rPr>
          <w:rFonts w:ascii="Gulim" w:eastAsia="Gulim" w:hAnsi="Gulim" w:cs="SimSun"/>
          <w:b/>
          <w:bCs/>
          <w:color w:val="515151"/>
          <w:kern w:val="0"/>
          <w:szCs w:val="21"/>
          <w:lang w:eastAsia="ko-KR"/>
        </w:rPr>
      </w:pPr>
    </w:p>
    <w:p w:rsidR="00DD257B" w:rsidRDefault="00DD257B" w:rsidP="00DD257B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hAnsi="Gulim" w:cs="SimSun" w:hint="eastAsia"/>
          <w:bCs/>
          <w:color w:val="000000" w:themeColor="text1"/>
          <w:kern w:val="0"/>
          <w:szCs w:val="21"/>
          <w:lang w:eastAsia="ko-KR"/>
        </w:rPr>
      </w:pPr>
      <w:r w:rsidRPr="00DD257B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중국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해관총서의 통계에 따르면, 올해</w:t>
      </w:r>
      <w:r w:rsidR="00900D3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1~10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월 중국의 수출입총액은 19.93억위안</w:t>
      </w:r>
      <w:r w:rsidR="00DE12F1">
        <w:rPr>
          <w:rFonts w:ascii="Gulim" w:eastAsia="Gulim" w:hAnsi="Gulim" w:cs="SimSun" w:hint="eastAsia"/>
          <w:bCs/>
          <w:color w:val="000000" w:themeColor="text1"/>
          <w:kern w:val="0"/>
          <w:szCs w:val="21"/>
          <w:vertAlign w:val="superscript"/>
          <w:lang w:eastAsia="ko-KR"/>
        </w:rPr>
        <w:t>[1]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으로 전년동기대비 8.1% 하락한 것으로 나타났다. 그 중에서 수출액은 전년동기대비 2% 하락한 11.46만억위안이며, 수입액은 전년동기대비 15.2% 하락한 8.47만억위안으로 집계되었다. 이에 따라 무역수지는 2.99만억위안 흑자를 기록했으며, 전년동기대비 75.3% 확대되었다.</w:t>
      </w:r>
    </w:p>
    <w:p w:rsidR="00090662" w:rsidRPr="00090662" w:rsidRDefault="00090662" w:rsidP="00DD257B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hAnsi="Gulim" w:cs="SimSun" w:hint="eastAsia"/>
          <w:bCs/>
          <w:color w:val="000000" w:themeColor="text1"/>
          <w:kern w:val="0"/>
          <w:szCs w:val="21"/>
          <w:lang w:eastAsia="ko-KR"/>
        </w:rPr>
      </w:pPr>
    </w:p>
    <w:p w:rsidR="0052588F" w:rsidRDefault="00DD257B" w:rsidP="00DD257B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hAnsi="Gulim" w:cs="SimSun" w:hint="eastAsia"/>
          <w:bCs/>
          <w:color w:val="000000" w:themeColor="text1"/>
          <w:kern w:val="0"/>
          <w:szCs w:val="21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10월, 중국의 수출입총액은 2.06만억위안으로 전년동기대비 9% 하락한 것으로 나타났다. 그 중에서 수출액은 전년동기대비 3.6% 하락한 1.23만억위안이며, 수입액은 전년동기대비 16% 하락한 8</w:t>
      </w:r>
      <w:r w:rsidR="0096192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,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331.4억위안으로 집계되었다. 이에 따라 무역수지는 3932.2억위안 흑자를 기록했으며, 전년동기대비 40.2% 확대되었다. </w:t>
      </w:r>
      <w:r w:rsidR="00D41BE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(아래 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도표</w:t>
      </w:r>
      <w:r w:rsidR="00D41BE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참조)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</w:t>
      </w:r>
    </w:p>
    <w:p w:rsidR="00090662" w:rsidRPr="00090662" w:rsidRDefault="00090662" w:rsidP="00DD257B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hAnsi="Gulim" w:cs="SimSun" w:hint="eastAsia"/>
          <w:bCs/>
          <w:color w:val="000000" w:themeColor="text1"/>
          <w:kern w:val="0"/>
          <w:szCs w:val="21"/>
        </w:rPr>
      </w:pPr>
    </w:p>
    <w:p w:rsidR="00E970B1" w:rsidRDefault="0064228A" w:rsidP="00692CDC">
      <w:pPr>
        <w:widowControl/>
        <w:shd w:val="clear" w:color="auto" w:fill="FFFFFF"/>
        <w:snapToGrid w:val="0"/>
        <w:spacing w:line="540" w:lineRule="atLeast"/>
        <w:rPr>
          <w:rFonts w:ascii="Microsoft YaHei" w:eastAsia="Malgun Gothic" w:hAnsi="Microsoft YaHei" w:cs="SimSun"/>
          <w:color w:val="000000"/>
          <w:kern w:val="0"/>
          <w:szCs w:val="21"/>
          <w:lang w:eastAsia="ko-KR"/>
        </w:rPr>
      </w:pPr>
      <w:r>
        <w:rPr>
          <w:rFonts w:ascii="Microsoft YaHei" w:eastAsia="Microsoft YaHei" w:hAnsi="Microsoft YaHei" w:cs="SimSun"/>
          <w:noProof/>
          <w:color w:val="000000"/>
          <w:kern w:val="0"/>
          <w:sz w:val="18"/>
          <w:szCs w:val="18"/>
          <w:lang w:eastAsia="ko-KR"/>
        </w:rPr>
        <w:drawing>
          <wp:inline distT="0" distB="0" distL="0" distR="0">
            <wp:extent cx="5391150" cy="2581275"/>
            <wp:effectExtent l="19050" t="0" r="0" b="0"/>
            <wp:docPr id="1" name="图片 1" descr="http://www.customs.gov.cn/Portals/0/2015web/jrhg/201511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stoms.gov.cn/Portals/0/2015web/jrhg/201511tj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DFE" w:rsidRDefault="00890DFE" w:rsidP="00900D34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</w:p>
    <w:p w:rsidR="00900D34" w:rsidRDefault="00900D34" w:rsidP="00900D34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1~10월, 중국의 대외무역은 주로 다음과 같은 </w:t>
      </w:r>
      <w:r w:rsidR="00090662" w:rsidRP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특징을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보였다.</w:t>
      </w:r>
    </w:p>
    <w:p w:rsidR="00890DFE" w:rsidRDefault="00890DFE" w:rsidP="00900D34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</w:p>
    <w:p w:rsidR="002A29C4" w:rsidRDefault="00C9056C" w:rsidP="00B30328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일반무역의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경우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수출이 증가하였고 수출입 비중이 소폭 증가하였다. 1~10월, 중국의 일반무역 수출입액은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7.3% 하락한 10.87만억위안으로 집계되었고, 중국의 대외무역총액에서 차지하는 비중은 54.6%로 전년동기대비 0.5포인트 상승하였다. 그 중에서 수출은 6.17만억위안으로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2.3%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증가하였고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수출총액의 53.8%를 차지하였으며, 수입은 4.7만억위안으로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17.4%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하락하였고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수입총액의 55.5%를 </w:t>
      </w:r>
      <w:r w:rsidR="00C604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차지했</w:t>
      </w:r>
      <w:r w:rsidR="002A29C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다.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</w:t>
      </w:r>
      <w:r w:rsidR="002A29C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이에 따라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일반무역의 무역수지는 1.47만억위안 흑자를 기록했고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3.3배 확대되었다. 1~10월, 중국의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lastRenderedPageBreak/>
        <w:t>가공무역 수출입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총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액은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10.6% 하락한 6.26만억위안으로 집계되었고, 중국의 대외무역총액에서 차지하는 비중은 31.4%로 전년동기대비 0.9포인트 반락하였다. 그 중에서 수출은 4.01만억위안으로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8.5%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하락하였고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수출총액의 35%를 차지하였으며, 수입은 2.25만억위안으로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14.2%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하락하였고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수입총액의 26.5%를 </w:t>
      </w:r>
      <w:r w:rsidR="002A29C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차지하였다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.</w:t>
      </w:r>
      <w:r w:rsidR="002A29C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이에 따라 가공무역의 무역수지는 1.76만억위안 흑자를 기록했고 전년동기와 비슷한 수준을 유지했다.</w:t>
      </w:r>
    </w:p>
    <w:p w:rsidR="00C60430" w:rsidRDefault="00961924" w:rsidP="002A29C4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한편, 해관특수감독관리 방식으로 이루어진 수출입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총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액은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7.6% 하락한 2.14만억위안으로 집계되었고, 중국 대외무역총액의 10.8%를 차지했다. 그 중에서 수출은 7,703.9억</w:t>
      </w:r>
      <w:r w:rsidR="00C604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위안으로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 w:rsidR="00C604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6.7%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하락하였고</w:t>
      </w:r>
      <w:r w:rsidR="00C604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수출총액의 6.7%를 차지하였으며, 수입은 1.37만억위안으로 </w:t>
      </w:r>
      <w:r w:rsidR="000906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C604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8.2% 하락하여 수입총액의 16.2%를 차지했다.</w:t>
      </w:r>
    </w:p>
    <w:p w:rsidR="00890DFE" w:rsidRDefault="00890DFE" w:rsidP="00890DFE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</w:p>
    <w:p w:rsidR="002E38B1" w:rsidRDefault="00C60430" w:rsidP="00C60430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미국, 아시안에 대한 수출이 지속적으로 증가했고 EU, 일본</w:t>
      </w:r>
      <w:r w:rsidR="00265262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에 대한 수출이 하락했으며 주요 무역상대국으로부터의 수입은 모두 하락했다. 1~10월,</w:t>
      </w:r>
      <w:r w:rsidR="0043111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중국의 최대 무역상대국은 EU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집계되다.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중부 유럽과의 무역총액은 2.87만억위안으로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7.9%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하락하였고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중국 대외무역총액의 14.4%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를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차지했다. 그 중에서 EU에 대한 수출은 1.8만억위안으로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3.7% 하락했고, EU로부터의 수입액은 1.07만억위안으로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14.2% 하락했다. 이에 따라 대EU 무역수지는 7,355.3억위안 흑자를 기록했으며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 w:rsidR="0016433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17.1% 확대되었다. </w:t>
      </w:r>
      <w:r w:rsidR="002E38B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중국의 제2 무역상대국인 미국과의 무역총액은 1.85만억위안으로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2E38B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2.4% 증가하였고 중국 대외무역총액의 14.3%를 차지했다. 그 중에서 미국에 대한 수출은 2.1만억위안으로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2E38B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5.8% 증가했고 미국으로부터의 수입은 7,498.7억위안으로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2E38B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6% 하락했다. 이에 따라 대미 무역수지는 1.35억위안 흑자를 기록했으며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 w:rsidR="002E38B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13.7% 확대되었다.</w:t>
      </w:r>
    </w:p>
    <w:p w:rsidR="006F0A5F" w:rsidRDefault="004C5565" w:rsidP="002E38B1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1~10월, 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중국의 제3 무역상대국은 </w:t>
      </w: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아시안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이었다. 아시안과의 무역총액은 2.34만억위안으로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2.4% 하락했고 중국 무역총액의 11.7%를 차지했다. 그 중에서 아시안으로의 수출은 1.39만억위안으로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4.2% 증가했고 아시안으로부터의 수입은 9,469.3억위안으로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10.8% 하락했다. 이에 따라 대아시안 무역수지는 4,468억위안 흑자를 기록했고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61.9% 확대되었다. 일본은 중국의 제5 무역상대국으로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집계되었다. 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중일 무역총액은 1.42만억위안으로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 w:rsidR="00AB0B85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10.7% 하락했고 중국 무역총액의 7.1%를 차지했다. </w:t>
      </w:r>
      <w:r w:rsidR="006F0A5F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그 중에서 일본에 대한 수출은 6,915.2억위안으로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전년동기대비</w:t>
      </w:r>
      <w:r w:rsidR="006F0A5F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 9% 하락했고, 일본으로부터의 수입은 7,283.2억위안으로 </w:t>
      </w:r>
      <w:r w:rsidR="007C424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6F0A5F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12.3% 하락했다. 이에 따라 대일 무역수지는 368억위안 흑자를 기록했고 </w:t>
      </w:r>
      <w:r w:rsidR="00BA6AF6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6F0A5F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47.8% 축소되었다.</w:t>
      </w:r>
    </w:p>
    <w:p w:rsidR="00DC600F" w:rsidRDefault="006F0A5F" w:rsidP="00DC600F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bCs/>
          <w:color w:val="000000" w:themeColor="text1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1~10월, 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대홍콩 무역총액은 1.61만억위안으로 </w:t>
      </w:r>
      <w:r w:rsidR="00BA6AF6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11.6% 하락했고 내륙지역 대외무역총액의 8.1%를 차지했다. 그 중에서 홍콩에 대한 수출은 1.55만억위안으로 </w:t>
      </w:r>
      <w:r w:rsidR="00BA6AF6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11.7% 하락했고 홍콩으로부터의 수입은 535.3억위안으로 </w:t>
      </w:r>
      <w:r w:rsidR="00BA6AF6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10% 하락했다. 이에 따라 대홍콩 무역수지는 1.5만억위안 흑자를 기록했고 </w:t>
      </w:r>
      <w:r w:rsidR="00BA6AF6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11.8% 축소되었다(</w:t>
      </w:r>
      <w:r w:rsidR="0090016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표1 참조</w:t>
      </w:r>
      <w:r w:rsidR="0095004D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)</w:t>
      </w:r>
      <w:r w:rsidR="00900164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>.</w:t>
      </w:r>
    </w:p>
    <w:p w:rsidR="0064228A" w:rsidRPr="00F35BD8" w:rsidRDefault="00D831E8" w:rsidP="00900164">
      <w:pPr>
        <w:widowControl/>
        <w:shd w:val="clear" w:color="auto" w:fill="FFFFFF"/>
        <w:spacing w:line="360" w:lineRule="auto"/>
        <w:jc w:val="center"/>
        <w:rPr>
          <w:rFonts w:ascii="Gulim" w:eastAsia="Gulim" w:hAnsi="Gulim" w:cs="SimSun"/>
          <w:b/>
          <w:color w:val="000000"/>
          <w:kern w:val="0"/>
          <w:szCs w:val="21"/>
          <w:lang w:eastAsia="ko-KR"/>
        </w:rPr>
      </w:pPr>
      <w:r w:rsidRPr="00F35BD8">
        <w:rPr>
          <w:rFonts w:ascii="Gulim" w:eastAsia="Gulim" w:hAnsi="Gulim" w:cs="SimSun" w:hint="eastAsia"/>
          <w:b/>
          <w:color w:val="000000"/>
          <w:kern w:val="0"/>
          <w:szCs w:val="21"/>
          <w:lang w:eastAsia="ko-KR"/>
        </w:rPr>
        <w:t>표1</w:t>
      </w:r>
      <w:r w:rsidR="003532C0">
        <w:rPr>
          <w:rFonts w:ascii="Gulim" w:eastAsia="Gulim" w:hAnsi="Gulim" w:cs="SimSun" w:hint="eastAsia"/>
          <w:b/>
          <w:color w:val="000000"/>
          <w:kern w:val="0"/>
          <w:szCs w:val="21"/>
          <w:lang w:eastAsia="ko-KR"/>
        </w:rPr>
        <w:t>.</w:t>
      </w:r>
      <w:r w:rsidRPr="00F35BD8">
        <w:rPr>
          <w:rFonts w:ascii="Gulim" w:eastAsia="Gulim" w:hAnsi="Gulim" w:cs="SimSun" w:hint="eastAsia"/>
          <w:b/>
          <w:color w:val="000000"/>
          <w:kern w:val="0"/>
          <w:szCs w:val="21"/>
          <w:lang w:eastAsia="ko-KR"/>
        </w:rPr>
        <w:t xml:space="preserve">  2015년 1~10월 中 주요 무역상대국과의 수출입총액표</w:t>
      </w:r>
    </w:p>
    <w:tbl>
      <w:tblPr>
        <w:tblW w:w="8744" w:type="dxa"/>
        <w:jc w:val="center"/>
        <w:tblCellMar>
          <w:left w:w="0" w:type="dxa"/>
          <w:right w:w="0" w:type="dxa"/>
        </w:tblCellMar>
        <w:tblLook w:val="04A0"/>
      </w:tblPr>
      <w:tblGrid>
        <w:gridCol w:w="1227"/>
        <w:gridCol w:w="1048"/>
        <w:gridCol w:w="1048"/>
        <w:gridCol w:w="1048"/>
        <w:gridCol w:w="1048"/>
        <w:gridCol w:w="900"/>
        <w:gridCol w:w="673"/>
        <w:gridCol w:w="673"/>
        <w:gridCol w:w="1080"/>
      </w:tblGrid>
      <w:tr w:rsidR="0064228A" w:rsidRPr="00DC600F" w:rsidTr="00F35BD8">
        <w:trPr>
          <w:trHeight w:val="315"/>
          <w:jc w:val="center"/>
        </w:trPr>
        <w:tc>
          <w:tcPr>
            <w:tcW w:w="122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국가</w:t>
            </w:r>
          </w:p>
        </w:tc>
        <w:tc>
          <w:tcPr>
            <w:tcW w:w="4192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금액(억위안)</w:t>
            </w:r>
          </w:p>
        </w:tc>
        <w:tc>
          <w:tcPr>
            <w:tcW w:w="332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전년동기대비(%)</w:t>
            </w:r>
          </w:p>
        </w:tc>
      </w:tr>
      <w:tr w:rsidR="0064228A" w:rsidRPr="00DC600F" w:rsidTr="00F35BD8">
        <w:trPr>
          <w:trHeight w:val="265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SimSun" w:hint="eastAsia"/>
                <w:b/>
                <w:bCs/>
                <w:kern w:val="0"/>
                <w:sz w:val="18"/>
                <w:szCs w:val="18"/>
                <w:lang w:eastAsia="ko-KR"/>
              </w:rPr>
              <w:t>(지역)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수출입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수출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수입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무역</w:t>
            </w:r>
            <w:r w:rsidR="00BD43BB"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차액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수출입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수출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수입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F35BD8" w:rsidP="00F35BD8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무역</w:t>
            </w:r>
            <w:r w:rsidR="00BD43BB" w:rsidRPr="00DC600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차액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EU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28740.9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18048.1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10692.8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7355.3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-7.9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-3.7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17.1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SimSun" w:hint="eastAsia"/>
                <w:kern w:val="0"/>
                <w:sz w:val="18"/>
                <w:szCs w:val="18"/>
                <w:lang w:eastAsia="ko-KR"/>
              </w:rPr>
              <w:t>미국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28484.9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20986.2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7498.7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13487.5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2.4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5.8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13.7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아시안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23407.0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13937.7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9469.3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4468.4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-2.4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4.2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61.9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홍콩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16060.7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15525.4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535.3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14990.1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-11.6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-11.7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-10.0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-11.8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일본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14198.4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6915.2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7283.2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-368.0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-10.7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-9.0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-12.3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-47.8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한국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13901.9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5133.1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8768.8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-3635.7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-5.6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1.7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-9.4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-21.5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타이완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463.8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2304.6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7159.2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-4854.6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-5.2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-2.7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-6.0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-7.5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호주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5826.2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2023.5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3802.7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-1779.2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-17.6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3.7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-25.7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-43.8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브라질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3765.2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1461.5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2303.7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-842.2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-18.1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-16.9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-18.9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-22.2</w:t>
            </w:r>
          </w:p>
        </w:tc>
      </w:tr>
      <w:tr w:rsidR="0064228A" w:rsidRPr="00DC600F" w:rsidTr="0064228A">
        <w:trPr>
          <w:trHeight w:val="285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DC600F" w:rsidP="00DC600F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DC600F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인도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3657.4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2971.2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686.2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2285.0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1.9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8.9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>-20.2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DC600F" w:rsidRDefault="0064228A" w:rsidP="00DC600F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DC600F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22.3</w:t>
            </w:r>
          </w:p>
        </w:tc>
      </w:tr>
    </w:tbl>
    <w:p w:rsidR="00890DFE" w:rsidRDefault="00890DFE" w:rsidP="00890DFE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</w:p>
    <w:p w:rsidR="00DC600F" w:rsidRDefault="00890DFE" w:rsidP="00DC600F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민영기업의 수출입 비중이 상승했고 수출이 증가했다. </w:t>
      </w:r>
      <w:r w:rsidR="00AE404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1~10월, 민영기업의 수출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입액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총</w:t>
      </w:r>
      <w:r w:rsidR="00AE404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은 7.28만억위안으로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AE404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2.8% 하락했고 중국 대외무역총액의 36.5% 차지했으며 전년동기대비 2포인트 상승했다. 그 중에서 </w:t>
      </w:r>
      <w:r w:rsidR="00376BD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수출은 5.13만억위안으로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376BD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2%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증가했고</w:t>
      </w:r>
      <w:r w:rsidR="00376BD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수출총액의 44.8%를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차지했</w:t>
      </w:r>
      <w:r w:rsidR="00376BD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으며, 수입은 2.15만억위안으로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376BD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12.6%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하락하였고</w:t>
      </w:r>
      <w:r w:rsidR="00376BD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수입총액의 25.4%를 차지했다. </w:t>
      </w:r>
      <w:r w:rsidR="00EA4C5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1~10월, 외상투자기업의 수출입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총</w:t>
      </w:r>
      <w:r w:rsidR="00EA4C5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액은 9.32만억위안으로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EA4C5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6.4% 하락하였고 중국 대외무역총액의 46.8%를 차지했다. 그 중에서 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수출은 5.1만억위안으로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4.8%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하락했고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수출총액의 44.5%를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차지했으며,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수입은 4.22만억위안으로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8.3%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하락했고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입</w:t>
      </w:r>
      <w:r w:rsidR="003E43D2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총액의 49.9%를 차지했다.</w:t>
      </w:r>
    </w:p>
    <w:p w:rsidR="001D59D8" w:rsidRDefault="003E43D2" w:rsidP="001D59D8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한편, 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국유기업의 수출입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총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액은 3.33만억위안으로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13.2% 하락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했고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중국 대외무역총액의 16.7%를 차지했다. 그 중에서 수출은 1.23만억위안으로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4.8% 하락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했고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수출총액의 10.8%를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차지했다.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수입은 2.1만억위안으로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3532C0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17.5% </w:t>
      </w:r>
      <w:r w:rsidR="003532C0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하락했고</w:t>
      </w:r>
      <w:r w:rsidR="001D59D8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수입총액의 24.7%를 차지했다.</w:t>
      </w:r>
    </w:p>
    <w:p w:rsidR="003905E6" w:rsidRDefault="003905E6" w:rsidP="001D59D8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</w:p>
    <w:p w:rsidR="003E43D2" w:rsidRDefault="001E6049" w:rsidP="001D59D8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광둥(廣東), 장수(江蘇) 등 주요 성·시의 수출입 실적이 전반적인 실적보다 양호한 것으로 나타났고 광둥(廣東), 저장(浙江), 허난(河南) 등 지역의 수출이 증가했다. 1~10월, 광둥(廣東)성은 계속해서 수출입총액 전국 1위를 기록했다. 광둥(廣東)성의 수출입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총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액은 5.03만억위안으로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5.2% 하락했고 중국 수출입총액의 25.2%를 차지했다. 장수(江蘇)성, 상하이(上海)시, </w:t>
      </w:r>
      <w:r w:rsidR="00F41E5A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저장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(浙江)성, 푸졘(福建)</w:t>
      </w:r>
      <w:r w:rsidR="009F3E39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성의 수출입총액은 각각 2.79만억, 2.3만억, 1.77만억 및 8,732.9억위안으로 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전년대비 </w:t>
      </w:r>
      <w:r w:rsidR="009F3E39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각각3.3%, 2.4%, 2.2% 및 1.8% 하락했다. 이 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다섯</w:t>
      </w:r>
      <w:r w:rsidR="009F3E39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개 성·시의 수출입총액 하락폭은 </w:t>
      </w:r>
      <w:r w:rsidR="0011455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동일 시기 중국 수출입총액의 전반적인 하락폭</w:t>
      </w:r>
      <w:r w:rsidR="00EB796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보다 작은 것으로 나타났다. 1~10월, 베이징(北京)시(재경 중앙기업 포함)의 수출입총액은 1.64만억위안으로 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EB796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23.6% 하락했고, 산둥(山東)성의 수출입총액은 1.2만억위안으로 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EB796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15.3% 하락했다. 상기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일곱</w:t>
      </w:r>
      <w:r w:rsidR="00EB796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개 성·시의 수출입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액</w:t>
      </w:r>
      <w:r w:rsidR="00EB796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합계는 중국 수출입총액의 78.3%를 차지했으며 전년동기대비 0.8포인트 상승했다.</w:t>
      </w:r>
    </w:p>
    <w:p w:rsidR="00EB7967" w:rsidRDefault="00F41E5A" w:rsidP="00EB7967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수출 부문을 살펴볼 때 1~10월,</w:t>
      </w:r>
      <w:r w:rsidRPr="00F41E5A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광둥(廣東)성의 수출액은 3.18만억위안으로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0.4% 증가했고, 장수(江蘇)성의 수출액은 1.73만억위안으로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0.7% 하락했으며, 저장(浙江)성의 수출은 1.41만억위안으로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1.5% 증가했고, 상하이(上海)시의 수출액은 1.01만억위안으로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4.7% 하락했으며, 산둥(山東)성의 수출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액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은 7,070.8억위안으로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2.4% 하락했고, 푸졘(福建)성의 수출액은 5,806.8억위안으로</w:t>
      </w:r>
      <w:r w:rsidR="001E2A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1E2A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2.6% 증가했으며, 베이징(北京)시의 수출액은 2,655.5억위안으로</w:t>
      </w:r>
      <w:r w:rsidR="00F15D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F15D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16.3% 하락했다. 동일 기간 허난(河南)성의 수출액은</w:t>
      </w:r>
      <w:r w:rsidR="00F15DC1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F15DC1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17.9% 증가했다.</w:t>
      </w:r>
    </w:p>
    <w:p w:rsidR="003905E6" w:rsidRDefault="003905E6" w:rsidP="00EB7967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</w:p>
    <w:p w:rsidR="00C759BF" w:rsidRPr="003905E6" w:rsidRDefault="00755AFA" w:rsidP="003905E6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전기기계제품의 수출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이</w:t>
      </w:r>
      <w:r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증가했고 방직의류 등 전통 노동집약형 제품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의 수출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이</w:t>
      </w:r>
      <w:r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소폭 하락했다.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1~10월, 전기기계제품의 수출액은 6.58만억위안으로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  <w:r w:rsidR="00E21237">
        <w:rPr>
          <w:rFonts w:ascii="Gulim" w:eastAsia="Gulim" w:hAnsi="Gulim" w:cs="SimSun" w:hint="eastAsia"/>
          <w:bCs/>
          <w:color w:val="000000" w:themeColor="text1"/>
          <w:kern w:val="0"/>
          <w:szCs w:val="21"/>
          <w:lang w:eastAsia="ko-KR"/>
        </w:rPr>
        <w:t xml:space="preserve">전년동기대비 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1.4%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증가했고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수출총액의 57.4%를 차지했다. 그 중에서 가전제품 및 전자제품의 수출액은 2.94만억위안으로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5% 증가했고, 기계설비의 수출액은 1.85만억위안으로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7.2% 하락했다. 동일 기간,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의류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수출액은 8,886.5억위안으로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7% 하락했고,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방직품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수출액은 5,622억위안으로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1.4% 하락했으며,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신발류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수출액은 2,747.5억위안으로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4.7% 하락했고,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가구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수출액은 2,642억위안으로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3.4% 증가했으며, 플라스틱 제품의 수출액은 1,900.3억위안으로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2% 증가했고, 트렁크·가방의 수출액은 1,435.8억위안으로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4.7% 증가했으며, 장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난감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수출액은 816.1억위안으로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5A7E1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11.6% 증가했다. 상기 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7대 노동집약형 제품의 수출액 합계는 2.41만억위안으로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2.5% 하락했고 수출입총액의 21%를 차지했다. 한편, 비료 수출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물량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은 2,813.3만톤으로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28.1% 증가했고,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강재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물량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은 9,213.5만톤으로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24.7% 증가했으며, 자동차 수출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물량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은 61.8만대로 </w:t>
      </w:r>
      <w:r w:rsidR="00E21237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C759BF"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16.9% 감소되었다(표2 참조).</w:t>
      </w:r>
      <w:r w:rsidRPr="003905E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</w:p>
    <w:p w:rsidR="0064228A" w:rsidRPr="00805993" w:rsidRDefault="00755AFA" w:rsidP="00C759BF">
      <w:pPr>
        <w:widowControl/>
        <w:shd w:val="clear" w:color="auto" w:fill="FFFFFF"/>
        <w:snapToGrid w:val="0"/>
        <w:spacing w:line="360" w:lineRule="auto"/>
        <w:jc w:val="center"/>
        <w:rPr>
          <w:rFonts w:ascii="Microsoft YaHei" w:eastAsia="Microsoft YaHei" w:hAnsi="Microsoft YaHei" w:cs="SimSun"/>
          <w:b/>
          <w:color w:val="000000"/>
          <w:kern w:val="0"/>
          <w:szCs w:val="21"/>
          <w:lang w:eastAsia="ko-KR"/>
        </w:rPr>
      </w:pPr>
      <w:r w:rsidRPr="00805993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>표2</w:t>
      </w:r>
      <w:r w:rsidR="00E96A6E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>.</w:t>
      </w:r>
      <w:r w:rsidRPr="00805993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 xml:space="preserve"> </w:t>
      </w:r>
      <w:r w:rsidR="00E96A6E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 xml:space="preserve"> </w:t>
      </w:r>
      <w:r w:rsidRPr="00805993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>2015년 1~10월 中 주요 수출</w:t>
      </w:r>
      <w:r w:rsidR="00E96A6E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>품목</w:t>
      </w:r>
      <w:r w:rsidRPr="00805993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 xml:space="preserve"> 통계표</w:t>
      </w:r>
    </w:p>
    <w:tbl>
      <w:tblPr>
        <w:tblW w:w="8132" w:type="dxa"/>
        <w:jc w:val="center"/>
        <w:tblCellMar>
          <w:left w:w="0" w:type="dxa"/>
          <w:right w:w="0" w:type="dxa"/>
        </w:tblCellMar>
        <w:tblLook w:val="04A0"/>
      </w:tblPr>
      <w:tblGrid>
        <w:gridCol w:w="2760"/>
        <w:gridCol w:w="697"/>
        <w:gridCol w:w="1269"/>
        <w:gridCol w:w="1422"/>
        <w:gridCol w:w="992"/>
        <w:gridCol w:w="992"/>
      </w:tblGrid>
      <w:tr w:rsidR="0064228A" w:rsidRPr="00C759BF" w:rsidTr="004B51D3">
        <w:trPr>
          <w:trHeight w:val="300"/>
          <w:jc w:val="center"/>
        </w:trPr>
        <w:tc>
          <w:tcPr>
            <w:tcW w:w="276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833E54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C759BF"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  <w:lang w:eastAsia="ko-KR"/>
              </w:rPr>
              <w:t>수출</w:t>
            </w:r>
            <w:r w:rsidR="003905E6"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  <w:lang w:eastAsia="ko-KR"/>
              </w:rPr>
              <w:t>품목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833E54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C759BF"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  <w:lang w:eastAsia="ko-KR"/>
              </w:rPr>
              <w:t>단위</w:t>
            </w:r>
          </w:p>
        </w:tc>
        <w:tc>
          <w:tcPr>
            <w:tcW w:w="269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833E54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C759BF">
              <w:rPr>
                <w:rFonts w:ascii="Gulim" w:eastAsia="Gulim" w:hAnsi="Gulim" w:cs="Batang" w:hint="eastAsia"/>
                <w:b/>
                <w:kern w:val="0"/>
                <w:sz w:val="18"/>
                <w:szCs w:val="18"/>
                <w:lang w:eastAsia="ko-KR"/>
              </w:rPr>
              <w:t>절대치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C759BF"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  <w:t xml:space="preserve">　</w:t>
            </w:r>
            <w:r w:rsidR="00833E54" w:rsidRPr="00C759BF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전년동기대비</w:t>
            </w:r>
            <w:r w:rsidRPr="00C759BF">
              <w:rPr>
                <w:rFonts w:ascii="Gulim" w:eastAsia="Gulim" w:hAnsi="Gulim" w:cs="SimSun"/>
                <w:b/>
                <w:bCs/>
                <w:kern w:val="0"/>
                <w:sz w:val="18"/>
                <w:szCs w:val="18"/>
                <w:lang w:eastAsia="ko-KR"/>
              </w:rPr>
              <w:t>（%）</w:t>
            </w:r>
          </w:p>
        </w:tc>
      </w:tr>
      <w:tr w:rsidR="0064228A" w:rsidRPr="00C759BF" w:rsidTr="00FF60A4">
        <w:trPr>
          <w:trHeight w:val="2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228A" w:rsidRPr="00C759BF" w:rsidRDefault="0064228A" w:rsidP="004B51D3">
            <w:pPr>
              <w:widowControl/>
              <w:spacing w:line="360" w:lineRule="auto"/>
              <w:jc w:val="left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697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228A" w:rsidRPr="00C759BF" w:rsidRDefault="0064228A" w:rsidP="004B51D3">
            <w:pPr>
              <w:widowControl/>
              <w:spacing w:line="360" w:lineRule="auto"/>
              <w:jc w:val="left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7B59B2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  <w:lang w:eastAsia="ko-KR"/>
              </w:rPr>
              <w:t>수</w:t>
            </w:r>
            <w:r w:rsidR="00D7534D"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  <w:lang w:eastAsia="ko-KR"/>
              </w:rPr>
              <w:t>량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E54" w:rsidRPr="00C759BF" w:rsidRDefault="00833E54" w:rsidP="00E21237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C759BF"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</w:rPr>
              <w:t>금액(억위안)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C759BF"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  <w:t xml:space="preserve">　</w:t>
            </w:r>
            <w:r w:rsidR="00833E54" w:rsidRPr="00C759BF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수량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C759BF" w:rsidRDefault="00833E54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C759BF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금액</w:t>
            </w:r>
          </w:p>
        </w:tc>
      </w:tr>
      <w:tr w:rsidR="0064228A" w:rsidRPr="004B51D3" w:rsidTr="00FF60A4">
        <w:trPr>
          <w:trHeight w:val="300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755AF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전기기계제품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65813.0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1.4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755AF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그 중 : 가전제품 및 전자제품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29431.5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5.0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SimSun" w:hint="eastAsia"/>
                <w:kern w:val="0"/>
                <w:sz w:val="18"/>
                <w:szCs w:val="18"/>
                <w:lang w:eastAsia="ko-KR"/>
              </w:rPr>
              <w:t>기계설비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18519.2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-7.2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의류 및 의류부자재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8886.5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-7.0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방직섬유, 직물 및 제품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5622.0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-1.4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신발류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2747.5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-4.7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가구 및 그 부품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2642.4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3.4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플라스틱제품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800.3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1900.3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2.0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트렁크·가방 및 유사 용기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1435.8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4.7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장난감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816.1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11.6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비료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2813.3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540.6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33.7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강재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9213.5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3286.5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24.7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-6.6</w:t>
            </w:r>
          </w:p>
        </w:tc>
      </w:tr>
      <w:tr w:rsidR="0064228A" w:rsidRPr="004B51D3" w:rsidTr="004B51D3">
        <w:trPr>
          <w:trHeight w:val="285"/>
          <w:jc w:val="center"/>
        </w:trPr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자동차</w:t>
            </w:r>
          </w:p>
        </w:tc>
        <w:tc>
          <w:tcPr>
            <w:tcW w:w="6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4B51D3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4B51D3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61.8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577.9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16.9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4B51D3" w:rsidRDefault="0064228A" w:rsidP="004B51D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4B51D3">
              <w:rPr>
                <w:rFonts w:ascii="Gulim" w:eastAsia="Gulim" w:hAnsi="Gulim" w:cs="SimSun"/>
                <w:kern w:val="0"/>
                <w:sz w:val="18"/>
                <w:szCs w:val="18"/>
              </w:rPr>
              <w:t>-5.7</w:t>
            </w:r>
          </w:p>
        </w:tc>
      </w:tr>
    </w:tbl>
    <w:p w:rsidR="00692CDC" w:rsidRDefault="00692CDC" w:rsidP="00E96A6E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</w:p>
    <w:p w:rsidR="00E96A6E" w:rsidRDefault="00D57F2B" w:rsidP="00E96A6E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원유·식량·가공유 등 주요 벌크상품의 수입물량이 증가했고 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철광석·석탄·강재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수입물량이 감소되었으며 주요 수입품목의 가격이 보편적으로 하락했다. 1~10월, 중국의 철광석 수입물량은 7.75억톤으로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0.5% 감소되었고 평균 수입가격은 톤당 382.2위안으로 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40.6% 하락했다. 원유 수입물량은 2.75억톤으로 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8.9% 증가했고 평균 수입가격은 톤당 2,5642위안으로 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45.8% 하락했다. 석탄 수입물량은 1.7억톤으로 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29.9% 감소되었고 평균 수입가격은 톤당 374.9위안으로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21.3% 하락했다. 가공유 수입물량은 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2,517.7만톤으로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3.% 증가했고 평균 수입가격은 2,999.7위안으로 </w:t>
      </w:r>
      <w:r w:rsidR="002D65C6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39.8% 하락했다. 초급 형상의 플라스틱 수입물량은 2,169.7만톤으로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전년동기대비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2.5% 증가했고 평균 수입가격은 톤당 1.08만위안으로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14.2% 하락했다. 강재 수입물량은 1,068.4만톤으로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전년동기대비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11.7% 감소되었고 평균 수입가격은 톤당 7,005.7위안으로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8.4% 하락했다. 압연단조를 거치지 않은 구리 및 구리재료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의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수입물량은 381.8만톤으로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4.2% 감소되었고 평균 수입가격은 톤당 3.85만위안으로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 w:rsidR="001104F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15.8% 하락했다.</w:t>
      </w:r>
    </w:p>
    <w:p w:rsidR="00692CDC" w:rsidRPr="00160B99" w:rsidRDefault="001104F5" w:rsidP="00752119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left="420"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한편, 식량 수입물량은 1.03억톤으로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전년동기대비 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27.4% 증가했다. 그 중에서 대두</w:t>
      </w:r>
      <w:r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>(大豆) 수입물량</w:t>
      </w:r>
      <w:r w:rsidR="00160B99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>은 6,517.9만톤으로</w:t>
      </w:r>
      <w:r w:rsidR="00DD4BBF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 전년동기대비</w:t>
      </w:r>
      <w:r w:rsidR="00160B99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 14.7% 증가했고 평균 수입가격은 톤당 2,678.7위안으로 </w:t>
      </w:r>
      <w:r w:rsidR="00DD4BBF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전년동기대비 </w:t>
      </w:r>
      <w:r w:rsidR="00160B99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25.1% 하락했다. 전기기계제품 수입액은 4.04만억위안으로 </w:t>
      </w:r>
      <w:r w:rsidR="00DD4BBF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전년동기대비 </w:t>
      </w:r>
      <w:r w:rsidR="00160B99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>5.9% 하락했다. 그 중에서 자동차 수입물량은 90.4만대로</w:t>
      </w:r>
      <w:r w:rsidR="00DD4BBF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 전년동기대비</w:t>
      </w:r>
      <w:r w:rsidR="00160B99">
        <w:rPr>
          <w:rFonts w:ascii="Gulim" w:eastAsia="Gulim" w:hAnsi="Gulim" w:cs="Batang" w:hint="eastAsia"/>
          <w:kern w:val="0"/>
          <w:sz w:val="18"/>
          <w:szCs w:val="18"/>
          <w:lang w:eastAsia="ko-KR"/>
        </w:rPr>
        <w:t xml:space="preserve"> 23.7% 감소되었다(표3 참조).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</w:t>
      </w:r>
    </w:p>
    <w:p w:rsidR="0064228A" w:rsidRPr="003905E6" w:rsidRDefault="00E96A6E" w:rsidP="003905E6">
      <w:pPr>
        <w:widowControl/>
        <w:shd w:val="clear" w:color="auto" w:fill="FFFFFF"/>
        <w:snapToGrid w:val="0"/>
        <w:spacing w:line="360" w:lineRule="auto"/>
        <w:jc w:val="center"/>
        <w:rPr>
          <w:rFonts w:ascii="Gulim" w:eastAsia="Gulim" w:hAnsi="Gulim" w:cs="SimSun"/>
          <w:b/>
          <w:color w:val="000000"/>
          <w:kern w:val="0"/>
          <w:szCs w:val="21"/>
          <w:lang w:eastAsia="ko-KR"/>
        </w:rPr>
      </w:pPr>
      <w:r w:rsidRPr="003905E6">
        <w:rPr>
          <w:rFonts w:ascii="Gulim" w:eastAsia="Gulim" w:hAnsi="Gulim" w:cs="Gulim" w:hint="eastAsia"/>
          <w:b/>
          <w:color w:val="000000"/>
          <w:kern w:val="0"/>
          <w:szCs w:val="21"/>
          <w:lang w:eastAsia="ko-KR"/>
        </w:rPr>
        <w:t xml:space="preserve">표3. </w:t>
      </w:r>
      <w:r w:rsidR="0064228A" w:rsidRPr="003905E6">
        <w:rPr>
          <w:rFonts w:ascii="Gulim" w:eastAsia="Gulim" w:hAnsi="Gulim" w:cs="SimSun" w:hint="eastAsia"/>
          <w:b/>
          <w:color w:val="000000"/>
          <w:kern w:val="0"/>
          <w:szCs w:val="21"/>
          <w:lang w:eastAsia="ko-KR"/>
        </w:rPr>
        <w:t xml:space="preserve">　</w:t>
      </w:r>
      <w:r w:rsidRPr="003905E6">
        <w:rPr>
          <w:rFonts w:ascii="Gulim" w:eastAsia="Gulim" w:hAnsi="Gulim" w:cs="SimSun" w:hint="eastAsia"/>
          <w:b/>
          <w:color w:val="000000"/>
          <w:kern w:val="0"/>
          <w:szCs w:val="21"/>
          <w:lang w:eastAsia="ko-KR"/>
        </w:rPr>
        <w:t>2015년 1~10월 中 주요 수입품목 통계표</w:t>
      </w:r>
    </w:p>
    <w:tbl>
      <w:tblPr>
        <w:tblW w:w="8522" w:type="dxa"/>
        <w:jc w:val="center"/>
        <w:tblCellMar>
          <w:left w:w="0" w:type="dxa"/>
          <w:right w:w="0" w:type="dxa"/>
        </w:tblCellMar>
        <w:tblLook w:val="04A0"/>
      </w:tblPr>
      <w:tblGrid>
        <w:gridCol w:w="2059"/>
        <w:gridCol w:w="701"/>
        <w:gridCol w:w="1000"/>
        <w:gridCol w:w="998"/>
        <w:gridCol w:w="1304"/>
        <w:gridCol w:w="709"/>
        <w:gridCol w:w="709"/>
        <w:gridCol w:w="1042"/>
      </w:tblGrid>
      <w:tr w:rsidR="0064228A" w:rsidRPr="003029D8" w:rsidTr="009F2A7D">
        <w:trPr>
          <w:trHeight w:val="300"/>
          <w:jc w:val="center"/>
        </w:trPr>
        <w:tc>
          <w:tcPr>
            <w:tcW w:w="205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905E6" w:rsidP="0064228A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수입품목</w:t>
            </w:r>
          </w:p>
        </w:tc>
        <w:tc>
          <w:tcPr>
            <w:tcW w:w="70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905E6" w:rsidP="001865A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단위</w:t>
            </w:r>
          </w:p>
        </w:tc>
        <w:tc>
          <w:tcPr>
            <w:tcW w:w="330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905E6" w:rsidP="0064228A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절대치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 w:hint="eastAsia"/>
                <w:b/>
                <w:kern w:val="0"/>
                <w:sz w:val="18"/>
                <w:szCs w:val="18"/>
                <w:lang w:eastAsia="ko-KR"/>
              </w:rPr>
              <w:t>전년동기대비(%)</w:t>
            </w:r>
          </w:p>
        </w:tc>
      </w:tr>
      <w:tr w:rsidR="003029D8" w:rsidRPr="003029D8" w:rsidTr="009F2A7D">
        <w:trPr>
          <w:trHeight w:val="270"/>
          <w:jc w:val="center"/>
        </w:trPr>
        <w:tc>
          <w:tcPr>
            <w:tcW w:w="2059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228A" w:rsidRPr="003029D8" w:rsidRDefault="0064228A" w:rsidP="0064228A">
            <w:pPr>
              <w:widowControl/>
              <w:jc w:val="left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905E6" w:rsidP="001865A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수량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64228A">
            <w:pPr>
              <w:widowControl/>
              <w:jc w:val="center"/>
              <w:rPr>
                <w:rFonts w:ascii="Gulim" w:eastAsia="Gulim" w:hAnsi="Gulim" w:cs="Batang"/>
                <w:b/>
                <w:bCs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금액</w:t>
            </w:r>
          </w:p>
          <w:p w:rsidR="003029D8" w:rsidRPr="003029D8" w:rsidRDefault="003029D8" w:rsidP="0064228A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(억위안)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jc w:val="center"/>
              <w:rPr>
                <w:rFonts w:ascii="Gulim" w:eastAsia="Gulim" w:hAnsi="Gulim" w:cs="Batang"/>
                <w:b/>
                <w:bCs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평균가격</w:t>
            </w:r>
          </w:p>
          <w:p w:rsidR="003029D8" w:rsidRPr="003029D8" w:rsidRDefault="003029D8" w:rsidP="003029D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(위안/톤·대)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64228A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수량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1865A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금액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jc w:val="center"/>
              <w:rPr>
                <w:rFonts w:ascii="Gulim" w:eastAsia="Gulim" w:hAnsi="Gulim" w:cs="SimSun"/>
                <w:b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b/>
                <w:bCs/>
                <w:kern w:val="0"/>
                <w:sz w:val="18"/>
                <w:szCs w:val="18"/>
                <w:lang w:eastAsia="ko-KR"/>
              </w:rPr>
              <w:t>평균가격</w:t>
            </w:r>
          </w:p>
        </w:tc>
      </w:tr>
      <w:tr w:rsidR="003029D8" w:rsidRPr="003029D8" w:rsidTr="009F2A7D">
        <w:trPr>
          <w:trHeight w:val="300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D57F2B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철광</w:t>
            </w:r>
            <w:r w:rsidR="003029D8"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석 및 그 정광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77450.8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2960.4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382.2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-40.9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-40.6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원유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27497.5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7051.0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2564.2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8.9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-41.0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-45.8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 w:hint="eastAsia"/>
                <w:kern w:val="0"/>
                <w:sz w:val="18"/>
                <w:szCs w:val="18"/>
                <w:lang w:eastAsia="ko-KR"/>
              </w:rPr>
              <w:t>석탄 및 갈탄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17031.4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638.5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374.9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-44.8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-21.3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식량</w:t>
            </w:r>
          </w:p>
        </w:tc>
        <w:tc>
          <w:tcPr>
            <w:tcW w:w="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10266.7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2388.5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2326.5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-3.4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-24.2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 xml:space="preserve">그 중 : </w:t>
            </w:r>
            <w:r w:rsidR="001104F5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대두(大豆)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6517.9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1746.0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2678.7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14.7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-14.1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-25.1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가공유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2517.7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755.2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2999.7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3.1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-37.9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-39.8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초급 형상의 플라스틱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2169.7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2337.2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10771.7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-12.1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-14.2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강재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1068.4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748.5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7005.8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-11.7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-19.1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-8.4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wordWrap w:val="0"/>
              <w:topLinePunct/>
              <w:jc w:val="left"/>
              <w:rPr>
                <w:rFonts w:ascii="Gulim" w:eastAsia="Gulim" w:hAnsi="Gulim" w:cs="Batang"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미(未) 압연단조 구리 및 구리재료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381.8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1469.5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38489.9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64228A">
            <w:pPr>
              <w:widowControl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-4.2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64228A">
            <w:pPr>
              <w:widowControl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-19.3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-15.8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wordWrap w:val="0"/>
              <w:topLinePunct/>
              <w:jc w:val="left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미(未) 압연단조 알루미늄 및 알루미늄재료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3029D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만톤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58.8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170.5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28990.9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64228A">
            <w:pPr>
              <w:widowControl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64228A">
            <w:pPr>
              <w:widowControl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-12.8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1865A8">
            <w:pPr>
              <w:widowControl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10.9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전기기계제품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40436.8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 xml:space="preserve">　　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-5.9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</w:t>
            </w:r>
          </w:p>
        </w:tc>
      </w:tr>
      <w:tr w:rsidR="003029D8" w:rsidRPr="003029D8" w:rsidTr="009F2A7D">
        <w:trPr>
          <w:trHeight w:val="285"/>
          <w:jc w:val="center"/>
        </w:trPr>
        <w:tc>
          <w:tcPr>
            <w:tcW w:w="2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topLinePunct/>
              <w:spacing w:line="360" w:lineRule="auto"/>
              <w:jc w:val="left"/>
              <w:rPr>
                <w:rFonts w:ascii="Gulim" w:eastAsia="Gulim" w:hAnsi="Gulim" w:cs="SimSun"/>
                <w:kern w:val="0"/>
                <w:sz w:val="18"/>
                <w:szCs w:val="18"/>
                <w:lang w:eastAsia="ko-KR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자동차</w:t>
            </w:r>
          </w:p>
        </w:tc>
        <w:tc>
          <w:tcPr>
            <w:tcW w:w="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3029D8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Batang" w:hint="eastAsia"/>
                <w:kern w:val="0"/>
                <w:sz w:val="18"/>
                <w:szCs w:val="18"/>
                <w:lang w:eastAsia="ko-KR"/>
              </w:rPr>
              <w:t>만대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90.4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2302.9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254836.3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-23.7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right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-25.8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28A" w:rsidRPr="003029D8" w:rsidRDefault="0064228A" w:rsidP="00C873B3">
            <w:pPr>
              <w:widowControl/>
              <w:spacing w:line="360" w:lineRule="auto"/>
              <w:jc w:val="center"/>
              <w:rPr>
                <w:rFonts w:ascii="Gulim" w:eastAsia="Gulim" w:hAnsi="Gulim" w:cs="SimSun"/>
                <w:kern w:val="0"/>
                <w:sz w:val="18"/>
                <w:szCs w:val="18"/>
              </w:rPr>
            </w:pPr>
            <w:r w:rsidRPr="003029D8">
              <w:rPr>
                <w:rFonts w:ascii="Gulim" w:eastAsia="Gulim" w:hAnsi="Gulim" w:cs="SimSun"/>
                <w:kern w:val="0"/>
                <w:sz w:val="18"/>
                <w:szCs w:val="18"/>
              </w:rPr>
              <w:t>-2.8</w:t>
            </w:r>
          </w:p>
        </w:tc>
      </w:tr>
    </w:tbl>
    <w:p w:rsidR="00C873B3" w:rsidRDefault="00C873B3" w:rsidP="00C873B3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</w:p>
    <w:p w:rsidR="00C873B3" w:rsidRPr="00C873B3" w:rsidRDefault="00F45FF2" w:rsidP="00C873B3">
      <w:pPr>
        <w:pStyle w:val="a9"/>
        <w:widowControl/>
        <w:numPr>
          <w:ilvl w:val="0"/>
          <w:numId w:val="1"/>
        </w:numPr>
        <w:shd w:val="clear" w:color="auto" w:fill="FFFFFF"/>
        <w:wordWrap w:val="0"/>
        <w:topLinePunct/>
        <w:snapToGrid w:val="0"/>
        <w:spacing w:line="360" w:lineRule="auto"/>
        <w:ind w:firstLineChars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수출선행지수가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전기대비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하락했다. 10월, 중국의 수출선행지수는 32.8로 9월대비 1.2포인트 하락했다. 그 중에서 온라인 설문조사 결과에 따르면, 10월 중국의 수출관리자지수, 신규오더지수, 수</w:t>
      </w:r>
      <w:r w:rsidR="00867A6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출관리자신뢰지수는 각각 32.5, 30.8, 36.9로 집계되었으며 9월 대비 각각 1.2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포인트</w:t>
      </w:r>
      <w:r w:rsidR="00867A6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, 1.9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포인트,</w:t>
      </w:r>
      <w:r w:rsidR="00867A6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1포인트 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하락했</w:t>
      </w:r>
      <w:r w:rsidR="00867A6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다. 수출업체 종합원</w:t>
      </w:r>
      <w:r w:rsidR="00DD4BBF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가</w:t>
      </w:r>
      <w:r w:rsidR="00867A6E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지수는 28.9로 9월대비 0.4 포인트 상승했다.</w:t>
      </w:r>
      <w:r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 xml:space="preserve">  </w:t>
      </w:r>
    </w:p>
    <w:p w:rsidR="0064228A" w:rsidRPr="00867A6E" w:rsidRDefault="0064228A" w:rsidP="00867A6E">
      <w:pPr>
        <w:pStyle w:val="a9"/>
        <w:widowControl/>
        <w:shd w:val="clear" w:color="auto" w:fill="FFFFFF"/>
        <w:wordWrap w:val="0"/>
        <w:topLinePunct/>
        <w:snapToGrid w:val="0"/>
        <w:spacing w:line="360" w:lineRule="auto"/>
        <w:ind w:firstLineChars="0" w:firstLine="0"/>
        <w:rPr>
          <w:rFonts w:ascii="Gulim" w:eastAsia="Gulim" w:hAnsi="Gulim" w:cs="SimSun"/>
          <w:color w:val="000000"/>
          <w:kern w:val="0"/>
          <w:szCs w:val="21"/>
          <w:lang w:eastAsia="ko-KR"/>
        </w:rPr>
      </w:pPr>
    </w:p>
    <w:p w:rsidR="0064228A" w:rsidRPr="0064228A" w:rsidRDefault="003B34A2" w:rsidP="00692CDC">
      <w:pPr>
        <w:widowControl/>
        <w:shd w:val="clear" w:color="auto" w:fill="FFFFFF"/>
        <w:snapToGrid w:val="0"/>
        <w:spacing w:line="360" w:lineRule="atLeast"/>
        <w:jc w:val="left"/>
        <w:rPr>
          <w:rFonts w:ascii="Microsoft YaHei" w:eastAsia="Microsoft YaHei" w:hAnsi="Microsoft YaHei" w:cs="SimSun"/>
          <w:color w:val="000000"/>
          <w:kern w:val="0"/>
          <w:szCs w:val="21"/>
        </w:rPr>
      </w:pPr>
      <w:r w:rsidRPr="003B34A2">
        <w:rPr>
          <w:rFonts w:ascii="Microsoft YaHei" w:eastAsia="Microsoft YaHei" w:hAnsi="Microsoft YaHei" w:cs="SimSun"/>
          <w:color w:val="000000"/>
          <w:kern w:val="0"/>
          <w:szCs w:val="21"/>
        </w:rPr>
        <w:pict>
          <v:rect id="_x0000_i1025" style="width:137.05pt;height:.75pt" o:hrpct="330" o:hrstd="t" o:hrnoshade="t" o:hr="t" fillcolor="#696969" stroked="f"/>
        </w:pict>
      </w:r>
    </w:p>
    <w:bookmarkStart w:id="0" w:name="_ftn1"/>
    <w:p w:rsidR="0064228A" w:rsidRPr="0064228A" w:rsidRDefault="003B34A2" w:rsidP="00AB0B85">
      <w:pPr>
        <w:widowControl/>
        <w:shd w:val="clear" w:color="auto" w:fill="FFFFFF"/>
        <w:wordWrap w:val="0"/>
        <w:topLinePunct/>
        <w:snapToGrid w:val="0"/>
        <w:spacing w:line="360" w:lineRule="auto"/>
        <w:rPr>
          <w:rFonts w:ascii="Microsoft YaHei" w:eastAsia="Microsoft YaHei" w:hAnsi="Microsoft YaHei" w:cs="SimSun"/>
          <w:color w:val="000000"/>
          <w:kern w:val="0"/>
          <w:szCs w:val="21"/>
          <w:lang w:eastAsia="ko-KR"/>
        </w:rPr>
      </w:pPr>
      <w:r w:rsidRPr="00AB0B85">
        <w:rPr>
          <w:rFonts w:ascii="Gulim" w:eastAsia="Gulim" w:hAnsi="Gulim" w:cs="SimSun"/>
          <w:color w:val="000000"/>
          <w:kern w:val="0"/>
          <w:szCs w:val="21"/>
        </w:rPr>
        <w:fldChar w:fldCharType="begin"/>
      </w:r>
      <w:r w:rsidR="0064228A" w:rsidRPr="00AB0B85">
        <w:rPr>
          <w:rFonts w:ascii="Gulim" w:eastAsia="Gulim" w:hAnsi="Gulim" w:cs="SimSun"/>
          <w:color w:val="000000"/>
          <w:kern w:val="0"/>
          <w:szCs w:val="21"/>
          <w:lang w:eastAsia="ko-KR"/>
        </w:rPr>
        <w:instrText xml:space="preserve"> HYPERLINK "http://www.customs.gov.cn/publish/portal0/tab49564/info777356.htm" \l "_ftnref1" \o "" </w:instrText>
      </w:r>
      <w:r w:rsidRPr="00AB0B85">
        <w:rPr>
          <w:rFonts w:ascii="Gulim" w:eastAsia="Gulim" w:hAnsi="Gulim" w:cs="SimSun"/>
          <w:color w:val="000000"/>
          <w:kern w:val="0"/>
          <w:szCs w:val="21"/>
        </w:rPr>
        <w:fldChar w:fldCharType="separate"/>
      </w:r>
      <w:r w:rsidR="0064228A" w:rsidRPr="00AB0B85">
        <w:rPr>
          <w:rFonts w:ascii="Gulim" w:eastAsia="Gulim" w:hAnsi="Gulim" w:cs="SimSun" w:hint="eastAsia"/>
          <w:color w:val="555555"/>
          <w:kern w:val="0"/>
          <w:szCs w:val="21"/>
          <w:u w:val="single"/>
          <w:lang w:eastAsia="ko-KR"/>
        </w:rPr>
        <w:t>[1]</w:t>
      </w:r>
      <w:r w:rsidRPr="00AB0B85">
        <w:rPr>
          <w:rFonts w:ascii="Gulim" w:eastAsia="Gulim" w:hAnsi="Gulim" w:cs="SimSun"/>
          <w:color w:val="000000"/>
          <w:kern w:val="0"/>
          <w:szCs w:val="21"/>
        </w:rPr>
        <w:fldChar w:fldCharType="end"/>
      </w:r>
      <w:bookmarkEnd w:id="0"/>
      <w:r w:rsidR="0064228A" w:rsidRPr="00AB0B85">
        <w:rPr>
          <w:rFonts w:ascii="Gulim" w:eastAsia="Gulim" w:hAnsi="Gulim" w:cs="SimSun" w:hint="eastAsia"/>
          <w:color w:val="000000"/>
          <w:kern w:val="0"/>
          <w:szCs w:val="21"/>
          <w:lang w:eastAsia="ko-KR"/>
        </w:rPr>
        <w:t> </w:t>
      </w:r>
      <w:r w:rsidR="00AB0B85" w:rsidRPr="00AB0B85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 xml:space="preserve">국무원의 승인하에 </w:t>
      </w:r>
      <w:r w:rsidR="00AB0B85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>2015년 1월부터 해관</w:t>
      </w:r>
      <w:r w:rsidR="002430FA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 xml:space="preserve">의 </w:t>
      </w:r>
      <w:r w:rsidR="00AB0B85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>통계</w:t>
      </w:r>
      <w:r w:rsidR="002430FA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 xml:space="preserve"> </w:t>
      </w:r>
      <w:r w:rsidR="00AB0B85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>데이터</w:t>
      </w:r>
      <w:r w:rsidR="00DD4BBF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>는 위안화로 표시 및</w:t>
      </w:r>
      <w:r w:rsidR="00AB0B85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 xml:space="preserve"> 발표</w:t>
      </w:r>
      <w:r w:rsidR="00DD4BBF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>되고 있음</w:t>
      </w:r>
      <w:r w:rsidR="00AB0B85">
        <w:rPr>
          <w:rFonts w:ascii="Gulim" w:eastAsia="Gulim" w:hAnsi="Gulim" w:cs="Gulim" w:hint="eastAsia"/>
          <w:color w:val="000000"/>
          <w:kern w:val="0"/>
          <w:szCs w:val="21"/>
          <w:lang w:eastAsia="ko-KR"/>
        </w:rPr>
        <w:t>.</w:t>
      </w:r>
    </w:p>
    <w:p w:rsidR="009077D2" w:rsidRPr="00AB0B85" w:rsidRDefault="009077D2">
      <w:pPr>
        <w:rPr>
          <w:lang w:eastAsia="ko-KR"/>
        </w:rPr>
      </w:pPr>
    </w:p>
    <w:sectPr w:rsidR="009077D2" w:rsidRPr="00AB0B85" w:rsidSect="00907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53D" w:rsidRDefault="0036453D" w:rsidP="00382920">
      <w:r>
        <w:separator/>
      </w:r>
    </w:p>
  </w:endnote>
  <w:endnote w:type="continuationSeparator" w:id="1">
    <w:p w:rsidR="0036453D" w:rsidRDefault="0036453D" w:rsidP="00382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53D" w:rsidRDefault="0036453D" w:rsidP="00382920">
      <w:r>
        <w:separator/>
      </w:r>
    </w:p>
  </w:footnote>
  <w:footnote w:type="continuationSeparator" w:id="1">
    <w:p w:rsidR="0036453D" w:rsidRDefault="0036453D" w:rsidP="00382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F1E"/>
    <w:multiLevelType w:val="hybridMultilevel"/>
    <w:tmpl w:val="559A669C"/>
    <w:lvl w:ilvl="0" w:tplc="D520D89E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228A"/>
    <w:rsid w:val="00090662"/>
    <w:rsid w:val="000A744F"/>
    <w:rsid w:val="000C12C3"/>
    <w:rsid w:val="001104F5"/>
    <w:rsid w:val="0011455F"/>
    <w:rsid w:val="00160B99"/>
    <w:rsid w:val="00164330"/>
    <w:rsid w:val="001865A8"/>
    <w:rsid w:val="001D59D8"/>
    <w:rsid w:val="001E2AC1"/>
    <w:rsid w:val="001E6049"/>
    <w:rsid w:val="002213DC"/>
    <w:rsid w:val="002430FA"/>
    <w:rsid w:val="00265262"/>
    <w:rsid w:val="002A29C4"/>
    <w:rsid w:val="002D65C6"/>
    <w:rsid w:val="002E30D3"/>
    <w:rsid w:val="002E38B1"/>
    <w:rsid w:val="002E7C6F"/>
    <w:rsid w:val="00300618"/>
    <w:rsid w:val="003029D8"/>
    <w:rsid w:val="00314386"/>
    <w:rsid w:val="00336336"/>
    <w:rsid w:val="00352FD5"/>
    <w:rsid w:val="003532C0"/>
    <w:rsid w:val="0036453D"/>
    <w:rsid w:val="00376BD6"/>
    <w:rsid w:val="00382920"/>
    <w:rsid w:val="003905E6"/>
    <w:rsid w:val="003B34A2"/>
    <w:rsid w:val="003E43D2"/>
    <w:rsid w:val="00431111"/>
    <w:rsid w:val="004B51D3"/>
    <w:rsid w:val="004C5565"/>
    <w:rsid w:val="0052588F"/>
    <w:rsid w:val="005A7E1F"/>
    <w:rsid w:val="0064228A"/>
    <w:rsid w:val="00692CDC"/>
    <w:rsid w:val="006F0A5F"/>
    <w:rsid w:val="0074087E"/>
    <w:rsid w:val="00752119"/>
    <w:rsid w:val="00755AFA"/>
    <w:rsid w:val="007B59B2"/>
    <w:rsid w:val="007C4241"/>
    <w:rsid w:val="007E7A1E"/>
    <w:rsid w:val="00805993"/>
    <w:rsid w:val="00833E54"/>
    <w:rsid w:val="00867A6E"/>
    <w:rsid w:val="00890A36"/>
    <w:rsid w:val="00890DFE"/>
    <w:rsid w:val="00900164"/>
    <w:rsid w:val="00900D34"/>
    <w:rsid w:val="009077D2"/>
    <w:rsid w:val="00912F06"/>
    <w:rsid w:val="0095004D"/>
    <w:rsid w:val="00961924"/>
    <w:rsid w:val="009A1EB7"/>
    <w:rsid w:val="009A6706"/>
    <w:rsid w:val="009F2A7D"/>
    <w:rsid w:val="009F3E39"/>
    <w:rsid w:val="009F4769"/>
    <w:rsid w:val="009F6CE0"/>
    <w:rsid w:val="00AB0B85"/>
    <w:rsid w:val="00AE4041"/>
    <w:rsid w:val="00AE4F67"/>
    <w:rsid w:val="00B30328"/>
    <w:rsid w:val="00BA6AF6"/>
    <w:rsid w:val="00BD43BB"/>
    <w:rsid w:val="00BF19FD"/>
    <w:rsid w:val="00C60430"/>
    <w:rsid w:val="00C759BF"/>
    <w:rsid w:val="00C873B3"/>
    <w:rsid w:val="00C9056C"/>
    <w:rsid w:val="00D41BED"/>
    <w:rsid w:val="00D550BB"/>
    <w:rsid w:val="00D57F2B"/>
    <w:rsid w:val="00D7534D"/>
    <w:rsid w:val="00D831E8"/>
    <w:rsid w:val="00DC600F"/>
    <w:rsid w:val="00DD257B"/>
    <w:rsid w:val="00DD4BBF"/>
    <w:rsid w:val="00DE12F1"/>
    <w:rsid w:val="00E21237"/>
    <w:rsid w:val="00E96A6E"/>
    <w:rsid w:val="00E970B1"/>
    <w:rsid w:val="00EA4C5E"/>
    <w:rsid w:val="00EA4EB3"/>
    <w:rsid w:val="00EB7967"/>
    <w:rsid w:val="00F15DC1"/>
    <w:rsid w:val="00F267DC"/>
    <w:rsid w:val="00F35BD8"/>
    <w:rsid w:val="00F41E5A"/>
    <w:rsid w:val="00F45FF2"/>
    <w:rsid w:val="00FF3561"/>
    <w:rsid w:val="00F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D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228A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4228A"/>
    <w:rPr>
      <w:rFonts w:ascii="SimSun" w:eastAsia="SimSun" w:hAnsi="SimSun" w:cs="SimSu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4228A"/>
    <w:rPr>
      <w:b/>
      <w:bCs/>
    </w:rPr>
  </w:style>
  <w:style w:type="paragraph" w:styleId="a4">
    <w:name w:val="Normal (Web)"/>
    <w:basedOn w:val="a"/>
    <w:uiPriority w:val="99"/>
    <w:unhideWhenUsed/>
    <w:rsid w:val="0064228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22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228A"/>
  </w:style>
  <w:style w:type="paragraph" w:styleId="a6">
    <w:name w:val="Balloon Text"/>
    <w:basedOn w:val="a"/>
    <w:link w:val="Char"/>
    <w:uiPriority w:val="99"/>
    <w:semiHidden/>
    <w:unhideWhenUsed/>
    <w:rsid w:val="0064228A"/>
    <w:rPr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64228A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38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7"/>
    <w:uiPriority w:val="99"/>
    <w:semiHidden/>
    <w:rsid w:val="00382920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38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8"/>
    <w:uiPriority w:val="99"/>
    <w:semiHidden/>
    <w:rsid w:val="00382920"/>
    <w:rPr>
      <w:sz w:val="18"/>
      <w:szCs w:val="18"/>
    </w:rPr>
  </w:style>
  <w:style w:type="paragraph" w:styleId="a9">
    <w:name w:val="List Paragraph"/>
    <w:basedOn w:val="a"/>
    <w:uiPriority w:val="34"/>
    <w:qFormat/>
    <w:rsid w:val="00B303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89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4D4D4"/>
            <w:right w:val="none" w:sz="0" w:space="0" w:color="auto"/>
          </w:divBdr>
        </w:div>
        <w:div w:id="5100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cui</cp:lastModifiedBy>
  <cp:revision>2</cp:revision>
  <dcterms:created xsi:type="dcterms:W3CDTF">2015-11-11T05:11:00Z</dcterms:created>
  <dcterms:modified xsi:type="dcterms:W3CDTF">2015-11-11T05:11:00Z</dcterms:modified>
</cp:coreProperties>
</file>