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C7" w:rsidRPr="00AB5DAB" w:rsidRDefault="003900D1" w:rsidP="00F75581">
      <w:pPr>
        <w:pStyle w:val="a5"/>
        <w:shd w:val="clear" w:color="auto" w:fill="FFFFFF"/>
        <w:wordWrap w:val="0"/>
        <w:spacing w:before="0" w:beforeAutospacing="0" w:after="0" w:afterAutospacing="0" w:line="360" w:lineRule="auto"/>
        <w:jc w:val="center"/>
        <w:rPr>
          <w:rStyle w:val="a6"/>
          <w:rFonts w:ascii="Gulim" w:eastAsia="Gulim" w:hAnsi="Gulim"/>
          <w:color w:val="00B050"/>
          <w:sz w:val="40"/>
          <w:szCs w:val="40"/>
          <w:lang w:eastAsia="ko-KR"/>
        </w:rPr>
      </w:pPr>
      <w:r w:rsidRPr="00AB5DAB">
        <w:rPr>
          <w:rFonts w:ascii="Gulim" w:eastAsia="Gulim" w:hAnsi="Gulim" w:hint="eastAsia"/>
          <w:sz w:val="40"/>
          <w:szCs w:val="40"/>
          <w:lang w:eastAsia="ko-KR"/>
        </w:rPr>
        <w:t>【재경조찬</w:t>
      </w:r>
      <w:r w:rsidR="00462AC7" w:rsidRPr="00AB5DAB">
        <w:rPr>
          <w:rFonts w:ascii="Gulim" w:eastAsia="Gulim" w:hAnsi="Gulim" w:hint="eastAsia"/>
          <w:sz w:val="40"/>
          <w:szCs w:val="40"/>
          <w:lang w:eastAsia="ko-KR"/>
        </w:rPr>
        <w:t>】</w:t>
      </w:r>
      <w:r w:rsidR="002F50D2" w:rsidRPr="00AB5DAB">
        <w:rPr>
          <w:rFonts w:ascii="Gulim" w:eastAsia="Gulim" w:hAnsi="Gulim" w:hint="eastAsia"/>
          <w:sz w:val="40"/>
          <w:szCs w:val="40"/>
          <w:lang w:eastAsia="ko-KR"/>
        </w:rPr>
        <w:t>2016.</w:t>
      </w:r>
      <w:r w:rsidR="00145479" w:rsidRPr="00AB5DAB">
        <w:rPr>
          <w:rFonts w:ascii="Gulim" w:eastAsia="Gulim" w:hAnsi="Gulim" w:hint="eastAsia"/>
          <w:sz w:val="40"/>
          <w:szCs w:val="40"/>
        </w:rPr>
        <w:t>09</w:t>
      </w:r>
      <w:r w:rsidR="00E85835" w:rsidRPr="00AB5DAB">
        <w:rPr>
          <w:rFonts w:ascii="Gulim" w:eastAsia="Gulim" w:hAnsi="Gulim" w:hint="eastAsia"/>
          <w:sz w:val="40"/>
          <w:szCs w:val="40"/>
          <w:lang w:eastAsia="ko-KR"/>
        </w:rPr>
        <w:t>.</w:t>
      </w:r>
      <w:r w:rsidR="00145479" w:rsidRPr="00AB5DAB">
        <w:rPr>
          <w:rFonts w:ascii="Gulim" w:eastAsia="Gulim" w:hAnsi="Gulim" w:hint="eastAsia"/>
          <w:sz w:val="40"/>
          <w:szCs w:val="40"/>
        </w:rPr>
        <w:t>05</w:t>
      </w:r>
      <w:r w:rsidRPr="00AB5DAB">
        <w:rPr>
          <w:rFonts w:ascii="Gulim" w:eastAsia="Gulim" w:hAnsi="Gulim" w:hint="eastAsia"/>
          <w:sz w:val="40"/>
          <w:szCs w:val="40"/>
          <w:lang w:eastAsia="ko-KR"/>
        </w:rPr>
        <w:t xml:space="preserve"> </w:t>
      </w:r>
      <w:r w:rsidR="001D496C" w:rsidRPr="00AB5DAB">
        <w:rPr>
          <w:rFonts w:ascii="Gulim" w:eastAsia="Gulim" w:hAnsi="Gulim" w:hint="eastAsia"/>
          <w:sz w:val="40"/>
          <w:szCs w:val="40"/>
          <w:lang w:eastAsia="ko-KR"/>
        </w:rPr>
        <w:t>월</w:t>
      </w:r>
      <w:r w:rsidRPr="00AB5DAB">
        <w:rPr>
          <w:rFonts w:ascii="Gulim" w:eastAsia="Gulim" w:hAnsi="Gulim" w:hint="eastAsia"/>
          <w:sz w:val="40"/>
          <w:szCs w:val="40"/>
          <w:lang w:eastAsia="ko-KR"/>
        </w:rPr>
        <w:t>요일</w:t>
      </w:r>
    </w:p>
    <w:p w:rsidR="003900D1" w:rsidRPr="00AB5DAB" w:rsidRDefault="003900D1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rPr>
          <w:rStyle w:val="a6"/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3900D1" w:rsidRPr="00AB5DAB" w:rsidRDefault="00967D9D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거시,</w:t>
      </w:r>
      <w:r w:rsidR="003900D1"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 xml:space="preserve"> 데이터</w:t>
      </w:r>
    </w:p>
    <w:p w:rsidR="00145479" w:rsidRPr="00AB5DAB" w:rsidRDefault="00145479" w:rsidP="00AB5DAB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 :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항저우(杭州) 중미 정상회담에서 중국이 이루어낸 성과</w:t>
      </w:r>
      <w:r w:rsidR="00AB5DAB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를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발표</w:t>
      </w:r>
      <w:r w:rsidR="00AB5DAB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하였음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 중미 양국</w:t>
      </w:r>
      <w:r w:rsidR="004846B1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정상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은 통화정책, 재정정책 및 구조적 정책을 포함한 모든 정책 수단을 동원하여 자신감을 </w:t>
      </w:r>
      <w:r w:rsidR="00AB5DAB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부양하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고 성장을 </w:t>
      </w:r>
      <w:r w:rsidR="00AB5DAB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촉진하겠다는 약속을 발표하였음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 중미 양국</w:t>
      </w:r>
      <w:r w:rsidR="00F32321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정상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은 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철강 및 가타 업종의 생산과잉은 전세계적인 문제로서 여러 나라가 공동으로 </w:t>
      </w:r>
      <w:r w:rsidR="004846B1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풀어야 하는 숙제라</w:t>
      </w:r>
      <w:r w:rsidR="00F32321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고 인식을 같이 하였음.</w:t>
      </w:r>
    </w:p>
    <w:p w:rsidR="00921428" w:rsidRPr="00AB5DAB" w:rsidRDefault="00AF3D88" w:rsidP="00AB5DAB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팡정(方</w:t>
      </w:r>
      <w:r w:rsidRPr="00AB5DAB">
        <w:rPr>
          <w:rStyle w:val="a6"/>
          <w:rFonts w:ascii="Gulim" w:eastAsia="Gulim" w:hAnsi="Gulim" w:cs="Batang" w:hint="eastAsia"/>
          <w:color w:val="002060"/>
          <w:sz w:val="21"/>
          <w:szCs w:val="21"/>
          <w:lang w:eastAsia="ko-KR"/>
        </w:rPr>
        <w:t>正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)증권 런저핑</w:t>
      </w:r>
      <w:r w:rsidR="00C07D18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任澤平</w:t>
      </w:r>
      <w:r w:rsidR="00C07D18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2F50D2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F32321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F32321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단기적으로는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F32321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중성적인 통화정책이 펼쳐질 전망이며 안정적인 성장을 </w:t>
      </w:r>
      <w:r w:rsid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꾀함에 있어</w:t>
      </w:r>
      <w:r w:rsidR="00F32321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재정정책에 보다 많이 의존할 것으로 보임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 w:rsidR="00F32321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2014년~2015년에 </w:t>
      </w:r>
      <w:r w:rsid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통화정책</w:t>
      </w:r>
      <w:r w:rsidR="00F32321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을 주요 수단으로로 하고 재정정책을 보조적인 수단으로 삼았던 정책조합과는 달리</w:t>
      </w:r>
      <w:r w:rsid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</w:t>
      </w:r>
      <w:r w:rsidR="00F32321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2016년부터는 재정정책을 주요 수단으로 하고 통화정책을 보조적인 수단으로 하는 정책조합으로 바뀔 </w:t>
      </w:r>
      <w:r w:rsid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것으로 보이며 </w:t>
      </w:r>
      <w:r w:rsidR="00F32321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이는 미래에 적자를 확대하고 PPP에 주력할 것임을 의미함</w:t>
      </w:r>
      <w:r w:rsidR="00E165B7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AE0E9D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 </w:t>
      </w:r>
    </w:p>
    <w:p w:rsidR="008B066A" w:rsidRPr="00AB5DAB" w:rsidRDefault="007B611E" w:rsidP="00783A63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하이퉁(海通)증권 쟝차오</w:t>
      </w:r>
      <w:r w:rsidR="00D57298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姜超</w:t>
      </w:r>
      <w:r w:rsidR="00D57298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BE63F9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A952CE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: </w:t>
      </w:r>
      <w:r w:rsidR="008B31F4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8월의 국내 경제가 </w:t>
      </w:r>
      <w:r w:rsidR="006528E8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일시적인 안정세를 되찾긴 </w:t>
      </w:r>
      <w:r w:rsidR="004437F8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</w:t>
      </w:r>
      <w:r w:rsidR="006528E8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였으나 식품가격</w:t>
      </w:r>
      <w:r w:rsidR="004437F8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및</w:t>
      </w:r>
      <w:r w:rsidR="006528E8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PPI</w:t>
      </w:r>
      <w:r w:rsidR="004437F8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반등의 영향으로</w:t>
      </w:r>
      <w:r w:rsid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인해</w:t>
      </w:r>
      <w:r w:rsidR="004437F8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4분기 인플레이션이 단기적인 반등 압박에 직면해 있으며 따라서 은행예금지급준비금율 인하 등 완화적 통화정책의 출범시기 또한 계속 미뤄지고 있음. </w:t>
      </w:r>
      <w:r w:rsidR="004437F8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이는</w:t>
      </w:r>
      <w:r w:rsidR="00D46305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금리 인하에 단기적인 제동이 걸렸으며 자본시장은 여전히 기회를 기다려야 함을 의미함</w:t>
      </w:r>
      <w:r w:rsidR="008B066A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4B63CE" w:rsidRPr="00AB5DAB" w:rsidRDefault="00D46305" w:rsidP="0097422D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지우저우(九州)증권 덩하이칭(鄧海淸)</w:t>
      </w:r>
      <w:r w:rsidR="00B3393F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285E70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916C90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7A3416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재정정책과 구조적 개혁을 통하여</w:t>
      </w:r>
      <w:r w:rsidR="007A3416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보다 많은 일자리를 창출하고 저소득층의 소득을 늘리며 이와 더불어 가장 근본적인 성장엔진인 혁신을 격려해야만 G20정상회의에서 제시한 '</w:t>
      </w:r>
      <w:r w:rsidR="0097422D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강력하고 지속가능하며 균형 잡힌, 그리고 포용적인 성장</w:t>
      </w:r>
      <w:r w:rsidR="007A3416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'</w:t>
      </w:r>
      <w:r w:rsidR="0097422D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목표를 달성할 수 있음.</w:t>
      </w:r>
    </w:p>
    <w:p w:rsidR="007E0C1C" w:rsidRPr="00AB5DAB" w:rsidRDefault="00541F1E" w:rsidP="008F628A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피델리티 인터내셔널</w:t>
      </w:r>
      <w:r w:rsidR="00FE608B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Fidelity International</w:t>
      </w:r>
      <w:r w:rsidR="00C92635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) </w:t>
      </w:r>
      <w:r w:rsidR="00CB3FC8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: </w:t>
      </w:r>
      <w:r w:rsidR="00FE608B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현단계 중국이 직면한 가장 중요한 과제는 </w:t>
      </w:r>
      <w:r w:rsidR="00FE608B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어떻게 하면 경젱성장 모델을 고정자산 투자 견인형에서 소비 견인형으로 전환할 수 있</w:t>
      </w:r>
      <w:r w:rsid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느냐</w:t>
      </w:r>
      <w:r w:rsidR="00FE608B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하는 것임. 만일 중국이 경제성장 모델의 전환에 성공하게 된다면 지난 수년간의 관찰</w:t>
      </w:r>
      <w:r w:rsid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에서</w:t>
      </w:r>
      <w:r w:rsidR="0012517A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발견된</w:t>
      </w:r>
      <w:r w:rsidR="00FE608B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글로벌 경제세력이 신흥시장</w:t>
      </w:r>
      <w:r w:rsidR="0012517A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을</w:t>
      </w:r>
      <w:r w:rsidR="00FE608B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12517A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선호하</w:t>
      </w:r>
      <w:r w:rsidR="00FE608B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는 현</w:t>
      </w:r>
      <w:r w:rsidR="0012517A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</w:t>
      </w:r>
      <w:r w:rsidR="00FE608B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은 다만 시작에 불과하다. </w:t>
      </w:r>
    </w:p>
    <w:p w:rsidR="00D95847" w:rsidRPr="00AB5DAB" w:rsidRDefault="00D95847" w:rsidP="00D95847">
      <w:pPr>
        <w:pStyle w:val="a5"/>
        <w:shd w:val="clear" w:color="auto" w:fill="FFFFFF"/>
        <w:wordWrap w:val="0"/>
        <w:spacing w:before="0" w:beforeAutospacing="0" w:after="0" w:afterAutospacing="0" w:line="360" w:lineRule="auto"/>
        <w:ind w:left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</w:p>
    <w:p w:rsidR="000F7077" w:rsidRPr="00AB5DAB" w:rsidRDefault="000F7077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lastRenderedPageBreak/>
        <w:t>부동산</w:t>
      </w:r>
    </w:p>
    <w:p w:rsidR="00314A65" w:rsidRPr="00AB5DAB" w:rsidRDefault="003D3175" w:rsidP="008F628A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</w:t>
      </w:r>
      <w:r w:rsidR="00826B21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B86D48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r w:rsidR="00537B95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537B95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상장</w:t>
      </w:r>
      <w:r w:rsidR="00DB2ED8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한</w:t>
      </w:r>
      <w:r w:rsidR="00537B95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부동산기업들의 2016년 반기보고서 공시가 끝났음. 상반기의 뜨거운 부동산 </w:t>
      </w:r>
      <w:r w:rsid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열풍</w:t>
      </w:r>
      <w:r w:rsidR="00537B95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에 힘입어 </w:t>
      </w:r>
      <w:r w:rsidR="00537B95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다섯개 부동산기업의 매출액이 천억위안을 돌파</w:t>
      </w:r>
      <w:r w:rsidR="00537B95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했</w:t>
      </w:r>
      <w:r w:rsidR="00DB2ED8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으며 1~100위권에 든 </w:t>
      </w:r>
      <w:r w:rsidR="00537B95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부동산</w:t>
      </w:r>
      <w:r w:rsidR="00DB2ED8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기업의 시장점유율이 47%로 확대되었음. 시장 분화 현상이 지속되면서 부동산 업계의 집중도가 진일보 증가될 것이라는 분석이 나오고 있음</w:t>
      </w:r>
      <w:r w:rsidR="000D2018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</w:p>
    <w:p w:rsidR="00B51CA4" w:rsidRPr="00AB5DAB" w:rsidRDefault="00F24469" w:rsidP="008208E9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경제관찰보</w:t>
      </w:r>
      <w:r w:rsidR="00314A65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經濟觀察報</w:t>
      </w:r>
      <w:r w:rsidR="00314A65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8208E9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r w:rsidR="008208E9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DB2ED8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부동산기업이 대부업체에서 조달한 자금으로 토지 매입 계약금을 지급하는 현상이 </w:t>
      </w:r>
      <w:r w:rsidR="00E864FD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점점 늘어나고 있다고 업계 내 관계자가 전</w:t>
      </w:r>
      <w:r w:rsidR="0050358B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함</w:t>
      </w:r>
      <w:r w:rsidR="00E864FD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 w:rsidR="00E864FD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예를들어, 정부의 규정에 따를 때 토지출양금의 초회불입금 </w:t>
      </w:r>
      <w:r w:rsidR="0050358B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비율이 반드시 50% 이상이어야 하나 부동산 개발기업들은 25%만 자기보유 자금으로 지급하고 나머지 25%는 금융기구를 통해 시장 외에서 조달한 자금으로 </w:t>
      </w:r>
      <w:r w:rsid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지급하거나</w:t>
      </w:r>
      <w:r w:rsidR="0050358B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보다 높은 비율의 레버리지 방식으로 토지를 획득하고 있으며 심지어 '토지왕'을 탄생시키기도 함</w:t>
      </w:r>
      <w:r w:rsidR="00F44012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E01874" w:rsidRPr="00AB5DAB" w:rsidRDefault="00E01874" w:rsidP="00296C47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</w:p>
    <w:p w:rsidR="00E01874" w:rsidRPr="00AB5DAB" w:rsidRDefault="00E0187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시장</w:t>
      </w:r>
    </w:p>
    <w:p w:rsidR="00975C96" w:rsidRPr="00AB5DAB" w:rsidRDefault="00332F37" w:rsidP="008925B5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 w:hint="eastAsia"/>
          <w:bCs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둥팡망(東方網)</w:t>
      </w:r>
      <w:r w:rsidR="008925B5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 </w:t>
      </w:r>
      <w:r w:rsidR="00996935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상장기업들의 반기보고서를 분석할 때 구조 전환 또는 대건강</w:t>
      </w:r>
      <w:r w:rsidR="00975C96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(大健康)</w:t>
      </w:r>
      <w:r w:rsidR="00996935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산업</w:t>
      </w:r>
      <w:r w:rsidR="00975C96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에 대한 투자 확대 추세가 형성되</w:t>
      </w:r>
      <w:r w:rsid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고 있음</w:t>
      </w:r>
      <w:r w:rsidR="00975C96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음</w:t>
      </w:r>
      <w:r w:rsidR="008925B5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.</w:t>
      </w:r>
      <w:r w:rsidR="00975C96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특히 보험 계열이 강세를 보이면서 </w:t>
      </w:r>
      <w:r w:rsidR="00975C96"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'보험 + 건강'이 미래의 주도적인 모델로 자리잡을 것으로 예상됨.</w:t>
      </w:r>
      <w:r w:rsidR="00975C96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업계 내 관계자들은 중국이 세계 제2의 의약 시장으로 자리매김 함에 따라 앞으로 대건강(大健康) 산업의 성장 공간이 상당할 것이라고 분석함.</w:t>
      </w:r>
    </w:p>
    <w:p w:rsidR="008925B5" w:rsidRPr="00AB5DAB" w:rsidRDefault="00975C96" w:rsidP="00975C96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경제관찰보(經濟觀察報) : </w:t>
      </w:r>
      <w:r w:rsidR="00AB5DAB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한 </w:t>
      </w:r>
      <w:r w:rsid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소식통은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  <w:r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올해 하반기에 개인소득세 이연형 양로보험 시범사업 방안이 출범될 가능성이 </w:t>
      </w:r>
      <w:r w:rsid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상당히 크다고 전함</w:t>
      </w:r>
      <w:r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.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개인소득세 방안은 이미 국무원에 상정되었으며 개인소득세법 또한 </w:t>
      </w:r>
      <w:r w:rsid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개정을 앞두고 있음.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단, 2016년 안으로 개혁이 추진될 </w:t>
      </w:r>
      <w:r w:rsid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가능성은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아주 희박하며 개인소득세 이연 양로보험이 바로 최적의 </w:t>
      </w:r>
      <w:r w:rsid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돌파구로 주목받고 있음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.  </w:t>
      </w:r>
      <w:r w:rsidR="008925B5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</w:t>
      </w:r>
    </w:p>
    <w:p w:rsidR="00975C96" w:rsidRPr="00AB5DAB" w:rsidRDefault="00975C96" w:rsidP="0097030E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보험</w:t>
      </w:r>
      <w:r w:rsidR="0097030E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감독관리위원회 황훙(黃洪) 부주석 :</w:t>
      </w:r>
      <w:r w:rsidR="0097030E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CE182E"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13.7억명의 중국인</w:t>
      </w:r>
      <w:r w:rsidR="002419B5"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구</w:t>
      </w:r>
      <w:r w:rsidR="00CE182E"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중 장기생명보험에 가입한 </w:t>
      </w:r>
      <w:r w:rsidR="002419B5"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인구는</w:t>
      </w:r>
      <w:r w:rsidR="00CE182E"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 4천만명에 불과함.</w:t>
      </w:r>
      <w:r w:rsidR="00CE182E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2419B5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전반적으로 볼 때, 국민들이 우리 나라의 생명보험업 개혁발전 성과를 긍정적으로 보고 있긴 하나 국민들의 만족감은 부족한 편임. 이는 장기생명보험증의 보급 능력을 통해서 알 수 있음.</w:t>
      </w:r>
    </w:p>
    <w:p w:rsidR="008925B5" w:rsidRPr="00AB5DAB" w:rsidRDefault="008925B5" w:rsidP="008925B5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 w:hint="eastAsia"/>
          <w:bCs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lastRenderedPageBreak/>
        <w:t>我的鋼鐵(mysteel.com) :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AB5DAB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지난주 </w:t>
      </w:r>
      <w:r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중국 강철현물종합지수는 주간 1.</w:t>
      </w:r>
      <w:r w:rsidR="0078780E"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03</w:t>
      </w:r>
      <w:r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% </w:t>
      </w:r>
      <w:r w:rsidR="0078780E"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하락</w:t>
      </w:r>
      <w:r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한 </w:t>
      </w:r>
      <w:r w:rsidR="0078780E"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99.96으로</w:t>
      </w:r>
      <w:r w:rsidRPr="00AB5DAB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로 거래를 마감하였음. </w:t>
      </w:r>
      <w:r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블랙 계열 선물 제품의 가격</w:t>
      </w:r>
      <w:r w:rsidR="0078780E"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이 일시적인 급락세를 보이면서 강편 톤당 가격 또한 하향 곡선을 그리다가 다시 반등하였음.</w:t>
      </w:r>
      <w:r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이러한 영향으로 인해 강재 현물 시장 가격은 </w:t>
      </w:r>
      <w:r w:rsidR="00B2318D"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전반적으로 </w:t>
      </w:r>
      <w:r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요동치면서 </w:t>
      </w:r>
      <w:r w:rsidR="00B2318D"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하락</w:t>
      </w:r>
      <w:r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하는 추세</w:t>
      </w:r>
      <w:r w:rsidR="00A10144"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를 </w:t>
      </w:r>
      <w:r w:rsidR="00B2318D"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보였으며 시장 거래량 또한 부진한 모습을 </w:t>
      </w:r>
      <w:r w:rsid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보였음</w:t>
      </w:r>
      <w:r w:rsidR="00E5281C"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.</w:t>
      </w:r>
    </w:p>
    <w:p w:rsidR="00E5281C" w:rsidRPr="00AB5DAB" w:rsidRDefault="00E5281C" w:rsidP="00FD2AA4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 w:hint="eastAsia"/>
          <w:bCs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 :</w:t>
      </w:r>
      <w:r w:rsidRPr="00AB5DAB">
        <w:rPr>
          <w:rStyle w:val="a6"/>
          <w:rFonts w:ascii="Gulim" w:eastAsia="Gulim" w:hAnsi="Gulim" w:hint="eastAsia"/>
          <w:color w:val="002060"/>
        </w:rPr>
        <w:t xml:space="preserve"> </w:t>
      </w:r>
      <w:r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시노팩(SINOPEC) 추이광레이(崔光磊) 정유사업부 부주임은 국제 원유가격이 대폭 하락하는 가운데 국내 정유 업계의 생산</w:t>
      </w:r>
      <w:r w:rsidR="00FD2AA4"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과</w:t>
      </w:r>
      <w:r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잉 등 문제 또한 진일보 부각되고 있</w:t>
      </w:r>
      <w:r w:rsidR="00FD2AA4"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고</w:t>
      </w:r>
      <w:r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현단계의 생산능력 이용율이 이미 70%를 하회하고 있</w:t>
      </w:r>
      <w:r w:rsidR="00FD2AA4"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으며</w:t>
      </w:r>
      <w:r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</w:t>
      </w:r>
      <w:r w:rsidR="00FD2AA4"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앞으로 </w:t>
      </w:r>
      <w:r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가공유 공급과잉 국면이 </w:t>
      </w:r>
      <w:r w:rsidR="00FD2AA4"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한층 더</w:t>
      </w:r>
      <w:r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</w:t>
      </w:r>
      <w:r w:rsidR="00D61209" w:rsidRPr="00AB5DAB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격화될 전망이라고 전함.</w:t>
      </w:r>
    </w:p>
    <w:p w:rsidR="00B22E05" w:rsidRPr="00AB5DAB" w:rsidRDefault="00B22E05" w:rsidP="00F828F3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러시(樂視, Le)사 CEO 쟈웨팅(賈躍亭) : 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러시(樂視) 슈퍼 자동차로 인해 자동차 산업이 인터넷 생태의 전기자동차 시대로 진입할 수 있기를 희망. 모든 전기자동차기업 심지어 모든 인터넷전기자동기업</w:t>
      </w:r>
      <w:r w:rsidR="00F828F3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이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공동으로 전통 자동차 거</w:t>
      </w:r>
      <w:r w:rsidR="00F828F3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두업체들의 진정한 변혁 심지어 전통 자동차 거두업체의 전복(顚覆)을 </w:t>
      </w:r>
      <w:r w:rsidR="004645A8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도모해야 함.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 </w:t>
      </w:r>
    </w:p>
    <w:p w:rsidR="0095182D" w:rsidRPr="00AB5DAB" w:rsidRDefault="0095182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AB5DAB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증시</w:t>
      </w:r>
    </w:p>
    <w:p w:rsidR="008925B5" w:rsidRPr="00AB5DAB" w:rsidRDefault="008925B5" w:rsidP="008925B5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Char"/>
          <w:rFonts w:ascii="Gulim" w:eastAsia="Gulim" w:hAnsi="Gulim"/>
          <w:b/>
          <w:bCs/>
          <w:color w:val="000000" w:themeColor="text1"/>
          <w:sz w:val="24"/>
          <w:szCs w:val="24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상하이·선전 증권거래소 : 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지난주 마지막 거래일인</w:t>
      </w:r>
      <w:r w:rsidR="00F828F3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9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월</w:t>
      </w:r>
      <w:r w:rsidR="00F828F3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2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일까지 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상하이·선전 증시의 유통주 시가총액은 38.</w:t>
      </w:r>
      <w:r w:rsidR="00F828F3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06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조위안으로 주간 </w:t>
      </w:r>
      <w:r w:rsidR="00F828F3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0.38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% 감소하였음.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양 증시의 평균주가는 </w:t>
      </w:r>
      <w:r w:rsidR="00F828F3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10.31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위안으로 주간</w:t>
      </w:r>
      <w:r w:rsidR="00F828F3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0.38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% </w:t>
      </w:r>
      <w:r w:rsidR="00F828F3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하락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하였음. 상하이 증시의 상장회사 수는 1,1</w:t>
      </w:r>
      <w:r w:rsidR="00F828F3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25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개이고 평균 주가수익율은 15.</w:t>
      </w:r>
      <w:r w:rsidR="00F828F3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37</w:t>
      </w:r>
      <w:r w:rsidR="004645A8">
        <w:rPr>
          <w:rFonts w:ascii="Gulim" w:eastAsia="Gulim" w:hAnsi="Gulim" w:hint="eastAsia"/>
          <w:color w:val="3E3E3E"/>
          <w:sz w:val="21"/>
          <w:szCs w:val="21"/>
          <w:lang w:eastAsia="ko-KR"/>
        </w:rPr>
        <w:t>를 기록하였으며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, 선전 증시의 상장회사 수는 1,</w:t>
      </w:r>
      <w:r w:rsidR="00F828F3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807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개이고 평균 주가수익율은</w:t>
      </w:r>
      <w:r w:rsidR="00F828F3"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41.33</w:t>
      </w:r>
      <w:r w:rsidR="004645A8">
        <w:rPr>
          <w:rFonts w:ascii="Gulim" w:eastAsia="Gulim" w:hAnsi="Gulim" w:hint="eastAsia"/>
          <w:color w:val="3E3E3E"/>
          <w:sz w:val="21"/>
          <w:szCs w:val="21"/>
          <w:lang w:eastAsia="ko-KR"/>
        </w:rPr>
        <w:t>을 기록하였음</w:t>
      </w:r>
      <w:r w:rsidRPr="00AB5DAB">
        <w:rPr>
          <w:rFonts w:ascii="Gulim" w:eastAsia="Gulim" w:hAnsi="Gulim" w:hint="eastAsia"/>
          <w:color w:val="3E3E3E"/>
          <w:sz w:val="21"/>
          <w:szCs w:val="21"/>
          <w:lang w:eastAsia="ko-KR"/>
        </w:rPr>
        <w:t>.</w:t>
      </w:r>
      <w:r w:rsidRPr="00AB5DAB">
        <w:rPr>
          <w:rStyle w:val="Char"/>
          <w:rFonts w:ascii="Gulim" w:eastAsia="Gulim" w:hAnsi="Gulim" w:hint="eastAsia"/>
          <w:color w:val="002060"/>
          <w:lang w:eastAsia="ko-KR"/>
        </w:rPr>
        <w:t xml:space="preserve"> </w:t>
      </w:r>
    </w:p>
    <w:p w:rsidR="00E5281C" w:rsidRPr="00AB5DAB" w:rsidRDefault="00E5281C" w:rsidP="00E5281C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신삼판(新三板) : 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지난주</w:t>
      </w:r>
      <w:r w:rsidR="003F7938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(8.29~9.2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) 신규 등록한 기업 수는</w:t>
      </w:r>
      <w:r w:rsidR="003F7938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44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개로 </w:t>
      </w:r>
      <w:r w:rsidR="004645A8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직전주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="003F7938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대비 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증가 기업 수가</w:t>
      </w:r>
      <w:r w:rsidR="003F7938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53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개 </w:t>
      </w:r>
      <w:r w:rsidR="003F7938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줄어들었으며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거래금액은 3</w:t>
      </w:r>
      <w:r w:rsidR="003F7938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0.6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억위안으로 직전주 대비 </w:t>
      </w:r>
      <w:r w:rsidR="003F7938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1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</w:t>
      </w:r>
      <w:r w:rsidR="003F7938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1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3% </w:t>
      </w:r>
      <w:r w:rsidR="003F7938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감소</w:t>
      </w:r>
      <w:r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하였음. 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현재 신삼판(新三板) 총 등록기업 수는 8,</w:t>
      </w:r>
      <w:r w:rsidR="003F7938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920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개임.</w:t>
      </w:r>
    </w:p>
    <w:p w:rsidR="00DF307D" w:rsidRPr="00AB5DAB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AB5DAB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국제</w:t>
      </w:r>
    </w:p>
    <w:p w:rsidR="008925B5" w:rsidRPr="00AB5DAB" w:rsidRDefault="003768EE" w:rsidP="008925B5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color w:val="C0000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CNBC</w:t>
      </w:r>
      <w:r w:rsidR="008925B5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：</w:t>
      </w:r>
      <w:r w:rsidR="00B91120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미국 상장기업 수가 32년만에 최소치를 기록하였음. </w:t>
      </w:r>
      <w:r w:rsidR="00B91120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시카고대학 증권가격 연구센터의 데이터베이스에 </w:t>
      </w:r>
      <w:r w:rsidR="003D74B4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수록된 주식 수는 1984년 </w:t>
      </w:r>
      <w:r w:rsidR="004645A8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이래</w:t>
      </w:r>
      <w:r w:rsidR="003D74B4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최소치인 3,267</w:t>
      </w:r>
      <w:r w:rsidR="004645A8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개에</w:t>
      </w:r>
      <w:r w:rsidR="003D74B4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불과</w:t>
      </w:r>
      <w:r w:rsidR="004645A8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한 것으로 확이되었음</w:t>
      </w:r>
      <w:r w:rsidR="003D74B4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 IPO에 대한 선호도 하락</w:t>
      </w:r>
      <w:r w:rsidR="00897344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,</w:t>
      </w:r>
      <w:r w:rsidR="003D74B4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주식회수구입</w:t>
      </w:r>
      <w:r w:rsidR="00897344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및 인수합병의 붐이 미국 상장기업 수가 갈수록 줄어드는 원인으로 지목되고 있음.</w:t>
      </w:r>
      <w:r w:rsidR="003D74B4" w:rsidRPr="00AB5DAB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</w:p>
    <w:p w:rsidR="00E410B4" w:rsidRPr="00AB5DAB" w:rsidRDefault="008925B5" w:rsidP="008925B5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lastRenderedPageBreak/>
        <w:t>지난주 금요일</w:t>
      </w:r>
      <w:r w:rsidR="003768EE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,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발틱해 건화물 운임지수(BDI)는</w:t>
      </w:r>
      <w:r w:rsidR="003768EE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1.12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% 상승한 720포인트를 </w:t>
      </w:r>
      <w:r w:rsidR="003768EE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기록하였으며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AB5DAB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주간 </w:t>
      </w:r>
      <w:r w:rsidR="003768EE" w:rsidRPr="00AB5DAB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등락폭은 </w:t>
      </w:r>
      <w:r w:rsidR="004645A8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그 전과 </w:t>
      </w:r>
      <w:r w:rsidR="003768EE" w:rsidRPr="00AB5DAB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동등한 수준을 유지하였음.</w:t>
      </w:r>
    </w:p>
    <w:p w:rsidR="00DF307D" w:rsidRPr="00AB5DAB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AB5DAB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외환</w:t>
      </w:r>
    </w:p>
    <w:p w:rsidR="00B76557" w:rsidRPr="00AB5DAB" w:rsidRDefault="008925B5" w:rsidP="00EC7EE3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cs="Batang" w:hint="eastAsia"/>
          <w:color w:val="000000" w:themeColor="text1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지난주 금요일, 중국 위안화(</w:t>
      </w:r>
      <w:r w:rsidRPr="00AB5DAB">
        <w:rPr>
          <w:rStyle w:val="a6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CNY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) 대 미국 달러화의 환율은 </w:t>
      </w:r>
      <w:r w:rsidR="00AC57BD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등락폭이 동일한 </w:t>
      </w:r>
      <w:r w:rsidR="00897344"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6.6</w:t>
      </w:r>
      <w:r w:rsidRPr="00AB5DA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8에 거래를 마감하였으며 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주간</w:t>
      </w:r>
      <w:r w:rsidR="00AC57BD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0.17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% 하락하였음. </w:t>
      </w:r>
      <w:r w:rsidRPr="00AB5DAB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>위안화 기준환율은</w:t>
      </w:r>
      <w:r w:rsidR="00AC57BD" w:rsidRPr="00AB5DAB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 xml:space="preserve"> 6.6727을</w:t>
      </w:r>
      <w:r w:rsidRPr="00AB5DAB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 xml:space="preserve"> 기록하였고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 주간</w:t>
      </w:r>
      <w:r w:rsidR="00AC57BD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0.36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% 하락하였음.</w:t>
      </w:r>
    </w:p>
    <w:p w:rsidR="00AC57BD" w:rsidRPr="00AB5DAB" w:rsidRDefault="00AC57BD" w:rsidP="004645A8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4645A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 :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중미 양국</w:t>
      </w:r>
      <w:r w:rsidR="00DD69A4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은 공동으로 G20 정상회의에서 달성한 환율 약속을 이행할 것을 재천명하였음.</w:t>
      </w:r>
      <w:r w:rsidR="00DD69A4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경쟁적인 통화가치 평가절하를 자제하고 경쟁을 목적으로 환율을 조정하지 않겠다는 등 내용을 포함하고 있음. 중국은 계속해서 환율 시장화로 </w:t>
      </w:r>
      <w:r w:rsidR="004645A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전환할 것이</w:t>
      </w:r>
      <w:r w:rsidR="00DD69A4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고 환율의 쌍방향 변동성을 강화할 것임. 중국은 위안화의 가치가 지속적으로 떨어질 수 있는 </w:t>
      </w:r>
      <w:r w:rsidR="004645A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기반이</w:t>
      </w:r>
      <w:r w:rsidR="00DD69A4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존재하지 않는다고 강조함.   </w:t>
      </w:r>
    </w:p>
    <w:p w:rsidR="00DF307D" w:rsidRPr="00AB5DAB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8925B5" w:rsidRPr="00AB5DAB" w:rsidRDefault="008925B5" w:rsidP="008925B5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미국증시</w:t>
      </w:r>
    </w:p>
    <w:p w:rsidR="008925B5" w:rsidRPr="00AB5DAB" w:rsidRDefault="008925B5" w:rsidP="008925B5">
      <w:pPr>
        <w:pStyle w:val="a5"/>
        <w:numPr>
          <w:ilvl w:val="0"/>
          <w:numId w:val="1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bCs/>
          <w:color w:val="00B050"/>
          <w:lang w:eastAsia="ko-KR"/>
        </w:rPr>
      </w:pP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지난주 금요일, 다우지수는 0</w:t>
      </w:r>
      <w:r w:rsidR="00DD69A4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.39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% </w:t>
      </w:r>
      <w:r w:rsidR="00DD69A4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상승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한</w:t>
      </w:r>
      <w:r w:rsidR="00DD69A4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18,491.96을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기록하였고</w:t>
      </w:r>
      <w:r w:rsidRPr="00AB5DAB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</w:t>
      </w:r>
      <w:r w:rsidRPr="00AB5DA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주간</w:t>
      </w:r>
      <w:r w:rsidR="00DD69A4" w:rsidRPr="00AB5DA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 0.52</w:t>
      </w:r>
      <w:r w:rsidRPr="00AB5DA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% </w:t>
      </w:r>
      <w:r w:rsidR="00DD69A4" w:rsidRPr="00AB5DA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상승</w:t>
      </w:r>
      <w:r w:rsidRPr="00AB5DAB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하였음. 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S&amp;P 500지수는</w:t>
      </w:r>
      <w:r w:rsidR="00DD69A4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0.42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% </w:t>
      </w:r>
      <w:r w:rsidR="00DD69A4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상승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한</w:t>
      </w:r>
      <w:r w:rsidR="00DD69A4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2,179.98을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기록하였고</w:t>
      </w:r>
      <w:r w:rsidRPr="00AB5DAB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 xml:space="preserve"> </w:t>
      </w:r>
      <w:r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주간</w:t>
      </w:r>
      <w:r w:rsidR="00DD69A4"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0.51</w:t>
      </w:r>
      <w:r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% </w:t>
      </w:r>
      <w:r w:rsidR="00DD69A4"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상승</w:t>
      </w:r>
      <w:r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하였음. 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나스닥종합지수는</w:t>
      </w:r>
      <w:r w:rsidR="00DD69A4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0.43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% 상승한</w:t>
      </w:r>
      <w:r w:rsidR="00DD69A4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5,249.9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를 기록하였고</w:t>
      </w:r>
      <w:r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주간</w:t>
      </w:r>
      <w:r w:rsidR="00DD69A4"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0.59</w:t>
      </w:r>
      <w:r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% </w:t>
      </w:r>
      <w:r w:rsidR="00DD69A4"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상승</w:t>
      </w:r>
      <w:r w:rsidRPr="00AB5DAB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하였음.</w:t>
      </w:r>
    </w:p>
    <w:p w:rsidR="008925B5" w:rsidRPr="00AB5DAB" w:rsidRDefault="008925B5" w:rsidP="008925B5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Style w:val="a6"/>
          <w:rFonts w:ascii="Gulim" w:eastAsia="Gulim" w:hAnsi="Gulim"/>
          <w:color w:val="00B050"/>
          <w:lang w:eastAsia="ko-KR"/>
        </w:rPr>
      </w:pPr>
    </w:p>
    <w:p w:rsidR="00E410B4" w:rsidRPr="00AB5DAB" w:rsidRDefault="00EC7EE3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AB5DAB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석유</w:t>
      </w:r>
    </w:p>
    <w:p w:rsidR="00A67CEC" w:rsidRPr="00AB5DAB" w:rsidRDefault="008925B5" w:rsidP="008925B5">
      <w:pPr>
        <w:pStyle w:val="a5"/>
        <w:numPr>
          <w:ilvl w:val="0"/>
          <w:numId w:val="1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bCs/>
          <w:color w:val="C00000"/>
          <w:sz w:val="21"/>
          <w:szCs w:val="21"/>
          <w:lang w:eastAsia="ko-KR"/>
        </w:rPr>
      </w:pPr>
      <w:r w:rsidRPr="00AB5DAB">
        <w:rPr>
          <w:rFonts w:ascii="Gulim" w:eastAsia="Gulim" w:hAnsi="Gulim" w:hint="eastAsia"/>
          <w:b/>
          <w:bCs/>
          <w:color w:val="0F243E" w:themeColor="text2" w:themeShade="80"/>
          <w:sz w:val="21"/>
          <w:szCs w:val="21"/>
          <w:lang w:eastAsia="ko-KR"/>
        </w:rPr>
        <w:t>지난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주 금요일, 미국 서부텍사스산 원유(WTI)의 10월 선물 가격은</w:t>
      </w:r>
      <w:r w:rsidR="00886C39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2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.</w:t>
      </w:r>
      <w:r w:rsidR="00886C39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9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7% 상승한 </w:t>
      </w:r>
      <w:r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배럴당</w:t>
      </w:r>
      <w:r w:rsidR="00886C39"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 44.44달러를</w:t>
      </w:r>
      <w:r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 기록하였</w:t>
      </w:r>
      <w:r w:rsidR="00886C39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으며 주간 6.72% 하락하였음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Pr="00AB5DAB">
        <w:rPr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ICE 브런트 원유의</w:t>
      </w:r>
      <w:r w:rsidR="00886C39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11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월 선물 가격은</w:t>
      </w:r>
      <w:r w:rsidR="00886C39"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2.93</w:t>
      </w:r>
      <w:r w:rsidRPr="00AB5DAB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% 상승한 </w:t>
      </w:r>
      <w:r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배럴당</w:t>
      </w:r>
      <w:r w:rsidR="00886C39"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 xml:space="preserve"> 46</w:t>
      </w:r>
      <w:r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.</w:t>
      </w:r>
      <w:r w:rsidR="00886C39"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78</w:t>
      </w:r>
      <w:r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달러를 기록하였</w:t>
      </w:r>
      <w:r w:rsidR="00886C39" w:rsidRPr="00AB5DAB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음.</w:t>
      </w:r>
      <w:r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B548E2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원유</w:t>
      </w:r>
      <w:r w:rsidR="004645A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딜러의</w:t>
      </w:r>
      <w:r w:rsidR="00D71F80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분석에 따르면, </w:t>
      </w:r>
      <w:r w:rsidR="00D71F80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국제 원유 가격이 '급격히</w:t>
      </w:r>
      <w:r w:rsidR="00817CE2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역전</w:t>
      </w:r>
      <w:r w:rsidR="00D71F80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'</w:t>
      </w:r>
      <w:r w:rsidR="00817CE2" w:rsidRPr="00AB5DA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하는 시점에 놓여 있으며 </w:t>
      </w:r>
      <w:r w:rsidR="001351FD" w:rsidRPr="00AB5D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OPEC 정책의 조정이 시장에 실질적인 영향을 미칠 것으로 보임.</w:t>
      </w:r>
    </w:p>
    <w:sectPr w:rsidR="00A67CEC" w:rsidRPr="00AB5DAB" w:rsidSect="0009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905" w:rsidRDefault="00DF5905" w:rsidP="00A57CDD">
      <w:r>
        <w:separator/>
      </w:r>
    </w:p>
  </w:endnote>
  <w:endnote w:type="continuationSeparator" w:id="1">
    <w:p w:rsidR="00DF5905" w:rsidRDefault="00DF5905" w:rsidP="00A5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905" w:rsidRDefault="00DF5905" w:rsidP="00A57CDD">
      <w:r>
        <w:separator/>
      </w:r>
    </w:p>
  </w:footnote>
  <w:footnote w:type="continuationSeparator" w:id="1">
    <w:p w:rsidR="00DF5905" w:rsidRDefault="00DF5905" w:rsidP="00A57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047"/>
    <w:multiLevelType w:val="hybridMultilevel"/>
    <w:tmpl w:val="E6CA764A"/>
    <w:lvl w:ilvl="0" w:tplc="647EB464">
      <w:start w:val="1"/>
      <w:numFmt w:val="decimal"/>
      <w:lvlText w:val="4.%1"/>
      <w:lvlJc w:val="left"/>
      <w:pPr>
        <w:ind w:left="84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F06612"/>
    <w:multiLevelType w:val="hybridMultilevel"/>
    <w:tmpl w:val="98346BF6"/>
    <w:lvl w:ilvl="0" w:tplc="5F6C3676">
      <w:start w:val="1"/>
      <w:numFmt w:val="decimal"/>
      <w:lvlText w:val="1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9F7429"/>
    <w:multiLevelType w:val="hybridMultilevel"/>
    <w:tmpl w:val="5EAC698E"/>
    <w:lvl w:ilvl="0" w:tplc="11A8C89A">
      <w:start w:val="1"/>
      <w:numFmt w:val="decimal"/>
      <w:lvlText w:val="5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6432321"/>
    <w:multiLevelType w:val="hybridMultilevel"/>
    <w:tmpl w:val="D82818C0"/>
    <w:lvl w:ilvl="0" w:tplc="DC52C462">
      <w:start w:val="1"/>
      <w:numFmt w:val="decimal"/>
      <w:lvlText w:val="%1."/>
      <w:lvlJc w:val="left"/>
      <w:pPr>
        <w:ind w:left="789" w:hanging="420"/>
      </w:pPr>
      <w:rPr>
        <w:rFonts w:ascii="Gulim" w:eastAsia="Gulim" w:hAnsi="Gulim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09" w:hanging="420"/>
      </w:pPr>
    </w:lvl>
    <w:lvl w:ilvl="2" w:tplc="0409001B" w:tentative="1">
      <w:start w:val="1"/>
      <w:numFmt w:val="lowerRoman"/>
      <w:lvlText w:val="%3."/>
      <w:lvlJc w:val="righ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9" w:tentative="1">
      <w:start w:val="1"/>
      <w:numFmt w:val="lowerLetter"/>
      <w:lvlText w:val="%5)"/>
      <w:lvlJc w:val="left"/>
      <w:pPr>
        <w:ind w:left="2469" w:hanging="420"/>
      </w:pPr>
    </w:lvl>
    <w:lvl w:ilvl="5" w:tplc="0409001B" w:tentative="1">
      <w:start w:val="1"/>
      <w:numFmt w:val="lowerRoman"/>
      <w:lvlText w:val="%6."/>
      <w:lvlJc w:val="righ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9" w:tentative="1">
      <w:start w:val="1"/>
      <w:numFmt w:val="lowerLetter"/>
      <w:lvlText w:val="%8)"/>
      <w:lvlJc w:val="left"/>
      <w:pPr>
        <w:ind w:left="3729" w:hanging="420"/>
      </w:pPr>
    </w:lvl>
    <w:lvl w:ilvl="8" w:tplc="0409001B" w:tentative="1">
      <w:start w:val="1"/>
      <w:numFmt w:val="lowerRoman"/>
      <w:lvlText w:val="%9."/>
      <w:lvlJc w:val="right"/>
      <w:pPr>
        <w:ind w:left="4149" w:hanging="420"/>
      </w:pPr>
    </w:lvl>
  </w:abstractNum>
  <w:abstractNum w:abstractNumId="4">
    <w:nsid w:val="2CB67779"/>
    <w:multiLevelType w:val="hybridMultilevel"/>
    <w:tmpl w:val="0E02B980"/>
    <w:lvl w:ilvl="0" w:tplc="F23222BC">
      <w:start w:val="1"/>
      <w:numFmt w:val="decimal"/>
      <w:lvlText w:val="2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3143FD2"/>
    <w:multiLevelType w:val="hybridMultilevel"/>
    <w:tmpl w:val="A40C0DA8"/>
    <w:lvl w:ilvl="0" w:tplc="FC54A828">
      <w:start w:val="1"/>
      <w:numFmt w:val="decimal"/>
      <w:lvlText w:val="3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79B716D"/>
    <w:multiLevelType w:val="hybridMultilevel"/>
    <w:tmpl w:val="01660A9A"/>
    <w:lvl w:ilvl="0" w:tplc="4ECC6C62">
      <w:start w:val="1"/>
      <w:numFmt w:val="decimal"/>
      <w:lvlText w:val="8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E672377"/>
    <w:multiLevelType w:val="hybridMultilevel"/>
    <w:tmpl w:val="84D67396"/>
    <w:lvl w:ilvl="0" w:tplc="B93A9B80">
      <w:start w:val="1"/>
      <w:numFmt w:val="decimal"/>
      <w:lvlText w:val="6.%1"/>
      <w:lvlJc w:val="left"/>
      <w:pPr>
        <w:ind w:left="84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525844ED"/>
    <w:multiLevelType w:val="hybridMultilevel"/>
    <w:tmpl w:val="4ABEEFCA"/>
    <w:lvl w:ilvl="0" w:tplc="E2F8DCAC">
      <w:start w:val="1"/>
      <w:numFmt w:val="decimal"/>
      <w:lvlText w:val="9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4461C10"/>
    <w:multiLevelType w:val="hybridMultilevel"/>
    <w:tmpl w:val="814806A8"/>
    <w:lvl w:ilvl="0" w:tplc="1D9C67C6">
      <w:start w:val="1"/>
      <w:numFmt w:val="decimal"/>
      <w:lvlText w:val="8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6841606"/>
    <w:multiLevelType w:val="hybridMultilevel"/>
    <w:tmpl w:val="37A2CDDE"/>
    <w:lvl w:ilvl="0" w:tplc="B470DB1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A6C6F2E"/>
    <w:multiLevelType w:val="hybridMultilevel"/>
    <w:tmpl w:val="DC24D650"/>
    <w:lvl w:ilvl="0" w:tplc="C5025AFC">
      <w:start w:val="1"/>
      <w:numFmt w:val="decimal"/>
      <w:lvlText w:val="8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D577DBA"/>
    <w:multiLevelType w:val="hybridMultilevel"/>
    <w:tmpl w:val="4BE87ADE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F4C54D2"/>
    <w:multiLevelType w:val="hybridMultilevel"/>
    <w:tmpl w:val="8CBA5DAE"/>
    <w:lvl w:ilvl="0" w:tplc="12882FC8">
      <w:start w:val="1"/>
      <w:numFmt w:val="decimal"/>
      <w:lvlText w:val="7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DD"/>
    <w:rsid w:val="00007C8B"/>
    <w:rsid w:val="0001250D"/>
    <w:rsid w:val="00017396"/>
    <w:rsid w:val="00017D0A"/>
    <w:rsid w:val="0002086B"/>
    <w:rsid w:val="0002388F"/>
    <w:rsid w:val="00026883"/>
    <w:rsid w:val="00027C14"/>
    <w:rsid w:val="00030144"/>
    <w:rsid w:val="00031A5A"/>
    <w:rsid w:val="00034783"/>
    <w:rsid w:val="00036F97"/>
    <w:rsid w:val="000407F4"/>
    <w:rsid w:val="0004651E"/>
    <w:rsid w:val="00052875"/>
    <w:rsid w:val="0006026C"/>
    <w:rsid w:val="00062CBF"/>
    <w:rsid w:val="00063F4E"/>
    <w:rsid w:val="00064E6E"/>
    <w:rsid w:val="000733DF"/>
    <w:rsid w:val="00077CB6"/>
    <w:rsid w:val="00082217"/>
    <w:rsid w:val="00087D40"/>
    <w:rsid w:val="00091BEC"/>
    <w:rsid w:val="000960FB"/>
    <w:rsid w:val="000A49F4"/>
    <w:rsid w:val="000B1932"/>
    <w:rsid w:val="000B1BEF"/>
    <w:rsid w:val="000C023F"/>
    <w:rsid w:val="000C26E1"/>
    <w:rsid w:val="000C3191"/>
    <w:rsid w:val="000C6197"/>
    <w:rsid w:val="000D2018"/>
    <w:rsid w:val="000D71A5"/>
    <w:rsid w:val="000E1CAA"/>
    <w:rsid w:val="000E3BA3"/>
    <w:rsid w:val="000E5097"/>
    <w:rsid w:val="000E57B4"/>
    <w:rsid w:val="000E656C"/>
    <w:rsid w:val="000F7077"/>
    <w:rsid w:val="00105B2A"/>
    <w:rsid w:val="0011038E"/>
    <w:rsid w:val="00111EE7"/>
    <w:rsid w:val="00112BF1"/>
    <w:rsid w:val="001130EF"/>
    <w:rsid w:val="00113A19"/>
    <w:rsid w:val="001225AE"/>
    <w:rsid w:val="0012267C"/>
    <w:rsid w:val="00122E38"/>
    <w:rsid w:val="0012517A"/>
    <w:rsid w:val="0013271B"/>
    <w:rsid w:val="00133687"/>
    <w:rsid w:val="001341F9"/>
    <w:rsid w:val="001351FD"/>
    <w:rsid w:val="001358CB"/>
    <w:rsid w:val="00136BBC"/>
    <w:rsid w:val="00141C28"/>
    <w:rsid w:val="0014320B"/>
    <w:rsid w:val="00145479"/>
    <w:rsid w:val="00145CC9"/>
    <w:rsid w:val="00146DC4"/>
    <w:rsid w:val="0015084D"/>
    <w:rsid w:val="00154FCF"/>
    <w:rsid w:val="001578A9"/>
    <w:rsid w:val="00157F25"/>
    <w:rsid w:val="0016252A"/>
    <w:rsid w:val="001639E2"/>
    <w:rsid w:val="00166547"/>
    <w:rsid w:val="001763BC"/>
    <w:rsid w:val="0018152E"/>
    <w:rsid w:val="00187029"/>
    <w:rsid w:val="00187127"/>
    <w:rsid w:val="00187E7D"/>
    <w:rsid w:val="00196860"/>
    <w:rsid w:val="001A1A9C"/>
    <w:rsid w:val="001A2F58"/>
    <w:rsid w:val="001A64FA"/>
    <w:rsid w:val="001B1167"/>
    <w:rsid w:val="001B3D84"/>
    <w:rsid w:val="001B46BD"/>
    <w:rsid w:val="001B79BB"/>
    <w:rsid w:val="001C31B0"/>
    <w:rsid w:val="001D1E46"/>
    <w:rsid w:val="001D2226"/>
    <w:rsid w:val="001D247B"/>
    <w:rsid w:val="001D37DC"/>
    <w:rsid w:val="001D4142"/>
    <w:rsid w:val="001D496C"/>
    <w:rsid w:val="001E137A"/>
    <w:rsid w:val="001E3790"/>
    <w:rsid w:val="001E3C7C"/>
    <w:rsid w:val="001E50B2"/>
    <w:rsid w:val="001F07E4"/>
    <w:rsid w:val="001F0DE8"/>
    <w:rsid w:val="001F1802"/>
    <w:rsid w:val="001F7BD8"/>
    <w:rsid w:val="00200390"/>
    <w:rsid w:val="002015E6"/>
    <w:rsid w:val="00204ED4"/>
    <w:rsid w:val="00214AC3"/>
    <w:rsid w:val="00224A22"/>
    <w:rsid w:val="00226D77"/>
    <w:rsid w:val="00230440"/>
    <w:rsid w:val="00230DC2"/>
    <w:rsid w:val="00234CFE"/>
    <w:rsid w:val="0023566B"/>
    <w:rsid w:val="00236021"/>
    <w:rsid w:val="0024183C"/>
    <w:rsid w:val="002419B5"/>
    <w:rsid w:val="0024511F"/>
    <w:rsid w:val="002451CB"/>
    <w:rsid w:val="00250296"/>
    <w:rsid w:val="00251C14"/>
    <w:rsid w:val="002530AA"/>
    <w:rsid w:val="00253AB3"/>
    <w:rsid w:val="00254E07"/>
    <w:rsid w:val="00257FFC"/>
    <w:rsid w:val="00264CA6"/>
    <w:rsid w:val="00265AE1"/>
    <w:rsid w:val="00267D6B"/>
    <w:rsid w:val="002750EA"/>
    <w:rsid w:val="00277708"/>
    <w:rsid w:val="002778BB"/>
    <w:rsid w:val="00284B62"/>
    <w:rsid w:val="00285E70"/>
    <w:rsid w:val="00293CBF"/>
    <w:rsid w:val="00295D7D"/>
    <w:rsid w:val="00296C47"/>
    <w:rsid w:val="00297946"/>
    <w:rsid w:val="002A0148"/>
    <w:rsid w:val="002B2679"/>
    <w:rsid w:val="002C376C"/>
    <w:rsid w:val="002D0779"/>
    <w:rsid w:val="002D106F"/>
    <w:rsid w:val="002D1CBD"/>
    <w:rsid w:val="002D50EB"/>
    <w:rsid w:val="002E7998"/>
    <w:rsid w:val="002F089E"/>
    <w:rsid w:val="002F3084"/>
    <w:rsid w:val="002F50D2"/>
    <w:rsid w:val="002F558D"/>
    <w:rsid w:val="0030068E"/>
    <w:rsid w:val="00312A37"/>
    <w:rsid w:val="00314A65"/>
    <w:rsid w:val="00317D41"/>
    <w:rsid w:val="00320803"/>
    <w:rsid w:val="00322688"/>
    <w:rsid w:val="00326F2E"/>
    <w:rsid w:val="003313FC"/>
    <w:rsid w:val="00331625"/>
    <w:rsid w:val="00332F37"/>
    <w:rsid w:val="00333AB8"/>
    <w:rsid w:val="00334C0E"/>
    <w:rsid w:val="003357D2"/>
    <w:rsid w:val="00336088"/>
    <w:rsid w:val="0035368F"/>
    <w:rsid w:val="00354766"/>
    <w:rsid w:val="003560FC"/>
    <w:rsid w:val="00357867"/>
    <w:rsid w:val="00366211"/>
    <w:rsid w:val="00366A28"/>
    <w:rsid w:val="00373404"/>
    <w:rsid w:val="003768EE"/>
    <w:rsid w:val="00385EE4"/>
    <w:rsid w:val="003900D1"/>
    <w:rsid w:val="003933BE"/>
    <w:rsid w:val="003946BC"/>
    <w:rsid w:val="00396379"/>
    <w:rsid w:val="003A2A0D"/>
    <w:rsid w:val="003A3EC9"/>
    <w:rsid w:val="003A549C"/>
    <w:rsid w:val="003A6F7F"/>
    <w:rsid w:val="003A7D68"/>
    <w:rsid w:val="003B1610"/>
    <w:rsid w:val="003B1F13"/>
    <w:rsid w:val="003B42DF"/>
    <w:rsid w:val="003C04F3"/>
    <w:rsid w:val="003C1665"/>
    <w:rsid w:val="003C7408"/>
    <w:rsid w:val="003D119A"/>
    <w:rsid w:val="003D20B9"/>
    <w:rsid w:val="003D3175"/>
    <w:rsid w:val="003D5276"/>
    <w:rsid w:val="003D5846"/>
    <w:rsid w:val="003D646F"/>
    <w:rsid w:val="003D74B4"/>
    <w:rsid w:val="003E2768"/>
    <w:rsid w:val="003E33EC"/>
    <w:rsid w:val="003E728A"/>
    <w:rsid w:val="003F20AB"/>
    <w:rsid w:val="003F7938"/>
    <w:rsid w:val="00401DE6"/>
    <w:rsid w:val="00406808"/>
    <w:rsid w:val="004103BA"/>
    <w:rsid w:val="0041104F"/>
    <w:rsid w:val="004219A9"/>
    <w:rsid w:val="00431DCF"/>
    <w:rsid w:val="004437F8"/>
    <w:rsid w:val="004460EF"/>
    <w:rsid w:val="0045385D"/>
    <w:rsid w:val="00454B6C"/>
    <w:rsid w:val="00454F47"/>
    <w:rsid w:val="00457BE7"/>
    <w:rsid w:val="00460D7C"/>
    <w:rsid w:val="00462AC7"/>
    <w:rsid w:val="004645A8"/>
    <w:rsid w:val="00475382"/>
    <w:rsid w:val="00476EE1"/>
    <w:rsid w:val="004846B1"/>
    <w:rsid w:val="00485E16"/>
    <w:rsid w:val="00491D1E"/>
    <w:rsid w:val="0049715E"/>
    <w:rsid w:val="004A44C5"/>
    <w:rsid w:val="004B53E3"/>
    <w:rsid w:val="004B63CE"/>
    <w:rsid w:val="004B7650"/>
    <w:rsid w:val="004C1CC6"/>
    <w:rsid w:val="004C23EB"/>
    <w:rsid w:val="004C67EB"/>
    <w:rsid w:val="004D0DB5"/>
    <w:rsid w:val="004E28C5"/>
    <w:rsid w:val="004E3A1B"/>
    <w:rsid w:val="004E5F30"/>
    <w:rsid w:val="004E6549"/>
    <w:rsid w:val="004E6E5C"/>
    <w:rsid w:val="004F03E7"/>
    <w:rsid w:val="004F5F35"/>
    <w:rsid w:val="0050358B"/>
    <w:rsid w:val="00503962"/>
    <w:rsid w:val="0050415D"/>
    <w:rsid w:val="00504577"/>
    <w:rsid w:val="00504A54"/>
    <w:rsid w:val="0050626F"/>
    <w:rsid w:val="005101CE"/>
    <w:rsid w:val="0051232B"/>
    <w:rsid w:val="00515109"/>
    <w:rsid w:val="0051625B"/>
    <w:rsid w:val="005165D0"/>
    <w:rsid w:val="00516791"/>
    <w:rsid w:val="00517475"/>
    <w:rsid w:val="00517E1E"/>
    <w:rsid w:val="00526D02"/>
    <w:rsid w:val="00531E8F"/>
    <w:rsid w:val="005329E8"/>
    <w:rsid w:val="0053303C"/>
    <w:rsid w:val="00537539"/>
    <w:rsid w:val="00537B95"/>
    <w:rsid w:val="0054108E"/>
    <w:rsid w:val="00541F1E"/>
    <w:rsid w:val="00541FD7"/>
    <w:rsid w:val="00542755"/>
    <w:rsid w:val="00542CE0"/>
    <w:rsid w:val="00550412"/>
    <w:rsid w:val="005511C2"/>
    <w:rsid w:val="00551527"/>
    <w:rsid w:val="00552341"/>
    <w:rsid w:val="005549CC"/>
    <w:rsid w:val="005556FD"/>
    <w:rsid w:val="00564F8C"/>
    <w:rsid w:val="00573CBB"/>
    <w:rsid w:val="00576187"/>
    <w:rsid w:val="00577690"/>
    <w:rsid w:val="005843F3"/>
    <w:rsid w:val="00594591"/>
    <w:rsid w:val="00595D42"/>
    <w:rsid w:val="005965EE"/>
    <w:rsid w:val="00596F85"/>
    <w:rsid w:val="0059726F"/>
    <w:rsid w:val="005A09B7"/>
    <w:rsid w:val="005A178F"/>
    <w:rsid w:val="005A7C16"/>
    <w:rsid w:val="005B4C71"/>
    <w:rsid w:val="005D1E16"/>
    <w:rsid w:val="005E4DEC"/>
    <w:rsid w:val="005E7563"/>
    <w:rsid w:val="006001C5"/>
    <w:rsid w:val="0060067F"/>
    <w:rsid w:val="00612527"/>
    <w:rsid w:val="0061420A"/>
    <w:rsid w:val="00614B2E"/>
    <w:rsid w:val="00616326"/>
    <w:rsid w:val="006167B7"/>
    <w:rsid w:val="00617140"/>
    <w:rsid w:val="00617497"/>
    <w:rsid w:val="00621782"/>
    <w:rsid w:val="006251AF"/>
    <w:rsid w:val="006328D4"/>
    <w:rsid w:val="006422D9"/>
    <w:rsid w:val="00642EB0"/>
    <w:rsid w:val="00645830"/>
    <w:rsid w:val="00645A6E"/>
    <w:rsid w:val="00647DFB"/>
    <w:rsid w:val="006511CF"/>
    <w:rsid w:val="006528E8"/>
    <w:rsid w:val="0065381B"/>
    <w:rsid w:val="006547D1"/>
    <w:rsid w:val="00656300"/>
    <w:rsid w:val="006646EA"/>
    <w:rsid w:val="006721D8"/>
    <w:rsid w:val="00680C80"/>
    <w:rsid w:val="00682407"/>
    <w:rsid w:val="00682EE6"/>
    <w:rsid w:val="00686F70"/>
    <w:rsid w:val="00691BE7"/>
    <w:rsid w:val="00692FB5"/>
    <w:rsid w:val="00694269"/>
    <w:rsid w:val="006A09CD"/>
    <w:rsid w:val="006A3022"/>
    <w:rsid w:val="006A3CCC"/>
    <w:rsid w:val="006A606C"/>
    <w:rsid w:val="006A7FE5"/>
    <w:rsid w:val="006B0F23"/>
    <w:rsid w:val="006B63C8"/>
    <w:rsid w:val="006C1619"/>
    <w:rsid w:val="006C5E1A"/>
    <w:rsid w:val="006D022C"/>
    <w:rsid w:val="006D0CC4"/>
    <w:rsid w:val="006D0FDE"/>
    <w:rsid w:val="006D1B07"/>
    <w:rsid w:val="006D54DD"/>
    <w:rsid w:val="006E477C"/>
    <w:rsid w:val="006E55D3"/>
    <w:rsid w:val="006F1529"/>
    <w:rsid w:val="006F5B7D"/>
    <w:rsid w:val="006F6D37"/>
    <w:rsid w:val="006F7BEF"/>
    <w:rsid w:val="00702C6A"/>
    <w:rsid w:val="00710884"/>
    <w:rsid w:val="0071285B"/>
    <w:rsid w:val="0071618E"/>
    <w:rsid w:val="00716B56"/>
    <w:rsid w:val="00717CEB"/>
    <w:rsid w:val="007251EE"/>
    <w:rsid w:val="007367F8"/>
    <w:rsid w:val="00751110"/>
    <w:rsid w:val="00751E4C"/>
    <w:rsid w:val="0075362E"/>
    <w:rsid w:val="007620C0"/>
    <w:rsid w:val="00766B69"/>
    <w:rsid w:val="00766DAF"/>
    <w:rsid w:val="007670A4"/>
    <w:rsid w:val="00773234"/>
    <w:rsid w:val="00783957"/>
    <w:rsid w:val="00783A63"/>
    <w:rsid w:val="007869C2"/>
    <w:rsid w:val="0078780E"/>
    <w:rsid w:val="00793EAA"/>
    <w:rsid w:val="007952B3"/>
    <w:rsid w:val="00796BF8"/>
    <w:rsid w:val="00796E6C"/>
    <w:rsid w:val="007A2903"/>
    <w:rsid w:val="007A3416"/>
    <w:rsid w:val="007A344E"/>
    <w:rsid w:val="007B4372"/>
    <w:rsid w:val="007B611E"/>
    <w:rsid w:val="007C0B45"/>
    <w:rsid w:val="007C3E7E"/>
    <w:rsid w:val="007C548E"/>
    <w:rsid w:val="007D107D"/>
    <w:rsid w:val="007D206F"/>
    <w:rsid w:val="007D3F97"/>
    <w:rsid w:val="007E0C1C"/>
    <w:rsid w:val="007E36F1"/>
    <w:rsid w:val="007E64D5"/>
    <w:rsid w:val="007F1745"/>
    <w:rsid w:val="007F58FB"/>
    <w:rsid w:val="007F7E54"/>
    <w:rsid w:val="00804893"/>
    <w:rsid w:val="008111BF"/>
    <w:rsid w:val="008115B0"/>
    <w:rsid w:val="00812C9A"/>
    <w:rsid w:val="00814021"/>
    <w:rsid w:val="00816DBE"/>
    <w:rsid w:val="00817CE2"/>
    <w:rsid w:val="008201B0"/>
    <w:rsid w:val="008208E9"/>
    <w:rsid w:val="0082178E"/>
    <w:rsid w:val="00826B21"/>
    <w:rsid w:val="00831CAB"/>
    <w:rsid w:val="00832313"/>
    <w:rsid w:val="00835865"/>
    <w:rsid w:val="00840994"/>
    <w:rsid w:val="008510D2"/>
    <w:rsid w:val="008525EC"/>
    <w:rsid w:val="00852986"/>
    <w:rsid w:val="00854098"/>
    <w:rsid w:val="008556DE"/>
    <w:rsid w:val="00865940"/>
    <w:rsid w:val="00872C0D"/>
    <w:rsid w:val="008754B6"/>
    <w:rsid w:val="0087576B"/>
    <w:rsid w:val="00886C39"/>
    <w:rsid w:val="00887218"/>
    <w:rsid w:val="008873AF"/>
    <w:rsid w:val="008925B5"/>
    <w:rsid w:val="00897344"/>
    <w:rsid w:val="008A0DB9"/>
    <w:rsid w:val="008A3DE5"/>
    <w:rsid w:val="008A49DC"/>
    <w:rsid w:val="008B066A"/>
    <w:rsid w:val="008B31F4"/>
    <w:rsid w:val="008B58F8"/>
    <w:rsid w:val="008B70A8"/>
    <w:rsid w:val="008C3F64"/>
    <w:rsid w:val="008D3312"/>
    <w:rsid w:val="008E2A5C"/>
    <w:rsid w:val="008F5090"/>
    <w:rsid w:val="008F628A"/>
    <w:rsid w:val="00903CCF"/>
    <w:rsid w:val="00906DC5"/>
    <w:rsid w:val="009123EF"/>
    <w:rsid w:val="00912956"/>
    <w:rsid w:val="00916C90"/>
    <w:rsid w:val="00921428"/>
    <w:rsid w:val="00927D5C"/>
    <w:rsid w:val="00933F49"/>
    <w:rsid w:val="00946708"/>
    <w:rsid w:val="0095182D"/>
    <w:rsid w:val="0095443F"/>
    <w:rsid w:val="009554F2"/>
    <w:rsid w:val="00957773"/>
    <w:rsid w:val="00961318"/>
    <w:rsid w:val="0096543C"/>
    <w:rsid w:val="00966045"/>
    <w:rsid w:val="00967D9D"/>
    <w:rsid w:val="0097030E"/>
    <w:rsid w:val="0097422D"/>
    <w:rsid w:val="00974A2D"/>
    <w:rsid w:val="00975C96"/>
    <w:rsid w:val="00980E60"/>
    <w:rsid w:val="00982A58"/>
    <w:rsid w:val="00985213"/>
    <w:rsid w:val="00985947"/>
    <w:rsid w:val="009951AB"/>
    <w:rsid w:val="00996935"/>
    <w:rsid w:val="009A159C"/>
    <w:rsid w:val="009A56D0"/>
    <w:rsid w:val="009B3048"/>
    <w:rsid w:val="009B36F7"/>
    <w:rsid w:val="009B4585"/>
    <w:rsid w:val="009D095F"/>
    <w:rsid w:val="009D1E48"/>
    <w:rsid w:val="009D2323"/>
    <w:rsid w:val="009D3989"/>
    <w:rsid w:val="009D6C61"/>
    <w:rsid w:val="009E3D0E"/>
    <w:rsid w:val="009F26B8"/>
    <w:rsid w:val="009F2FB3"/>
    <w:rsid w:val="009F4B54"/>
    <w:rsid w:val="00A02F47"/>
    <w:rsid w:val="00A0544C"/>
    <w:rsid w:val="00A05A14"/>
    <w:rsid w:val="00A0752F"/>
    <w:rsid w:val="00A10144"/>
    <w:rsid w:val="00A2475C"/>
    <w:rsid w:val="00A24EDA"/>
    <w:rsid w:val="00A25EC6"/>
    <w:rsid w:val="00A267B2"/>
    <w:rsid w:val="00A313BE"/>
    <w:rsid w:val="00A32188"/>
    <w:rsid w:val="00A368A1"/>
    <w:rsid w:val="00A46A4D"/>
    <w:rsid w:val="00A4735B"/>
    <w:rsid w:val="00A5155F"/>
    <w:rsid w:val="00A56955"/>
    <w:rsid w:val="00A57873"/>
    <w:rsid w:val="00A57CDD"/>
    <w:rsid w:val="00A60D80"/>
    <w:rsid w:val="00A67788"/>
    <w:rsid w:val="00A67CEC"/>
    <w:rsid w:val="00A73F1E"/>
    <w:rsid w:val="00A83FA8"/>
    <w:rsid w:val="00A847D5"/>
    <w:rsid w:val="00A871E7"/>
    <w:rsid w:val="00A952CE"/>
    <w:rsid w:val="00A95BBD"/>
    <w:rsid w:val="00A96F2E"/>
    <w:rsid w:val="00AA02AB"/>
    <w:rsid w:val="00AA1D19"/>
    <w:rsid w:val="00AA3162"/>
    <w:rsid w:val="00AB0AFD"/>
    <w:rsid w:val="00AB5DAB"/>
    <w:rsid w:val="00AC3E91"/>
    <w:rsid w:val="00AC57BD"/>
    <w:rsid w:val="00AD3283"/>
    <w:rsid w:val="00AD6379"/>
    <w:rsid w:val="00AD6A25"/>
    <w:rsid w:val="00AE0872"/>
    <w:rsid w:val="00AE0E9D"/>
    <w:rsid w:val="00AE71E3"/>
    <w:rsid w:val="00AF0AD2"/>
    <w:rsid w:val="00AF2222"/>
    <w:rsid w:val="00AF3D88"/>
    <w:rsid w:val="00B03A91"/>
    <w:rsid w:val="00B06E8F"/>
    <w:rsid w:val="00B1315C"/>
    <w:rsid w:val="00B172CD"/>
    <w:rsid w:val="00B22E05"/>
    <w:rsid w:val="00B2318D"/>
    <w:rsid w:val="00B316B9"/>
    <w:rsid w:val="00B32EFA"/>
    <w:rsid w:val="00B334EF"/>
    <w:rsid w:val="00B3393F"/>
    <w:rsid w:val="00B3413D"/>
    <w:rsid w:val="00B3677C"/>
    <w:rsid w:val="00B374B1"/>
    <w:rsid w:val="00B46295"/>
    <w:rsid w:val="00B51CA4"/>
    <w:rsid w:val="00B51F4F"/>
    <w:rsid w:val="00B53905"/>
    <w:rsid w:val="00B54584"/>
    <w:rsid w:val="00B548E2"/>
    <w:rsid w:val="00B55371"/>
    <w:rsid w:val="00B71F12"/>
    <w:rsid w:val="00B74883"/>
    <w:rsid w:val="00B758AE"/>
    <w:rsid w:val="00B76557"/>
    <w:rsid w:val="00B76685"/>
    <w:rsid w:val="00B80853"/>
    <w:rsid w:val="00B83112"/>
    <w:rsid w:val="00B86D48"/>
    <w:rsid w:val="00B91120"/>
    <w:rsid w:val="00B94A48"/>
    <w:rsid w:val="00BA5B5C"/>
    <w:rsid w:val="00BA78A3"/>
    <w:rsid w:val="00BA7E78"/>
    <w:rsid w:val="00BB49E9"/>
    <w:rsid w:val="00BB7930"/>
    <w:rsid w:val="00BC09BB"/>
    <w:rsid w:val="00BC1AE5"/>
    <w:rsid w:val="00BC1B09"/>
    <w:rsid w:val="00BD158D"/>
    <w:rsid w:val="00BD445A"/>
    <w:rsid w:val="00BD77B8"/>
    <w:rsid w:val="00BE2DB2"/>
    <w:rsid w:val="00BE63F9"/>
    <w:rsid w:val="00BE6EDB"/>
    <w:rsid w:val="00BF1E9F"/>
    <w:rsid w:val="00BF66AC"/>
    <w:rsid w:val="00BF6A3A"/>
    <w:rsid w:val="00C009D7"/>
    <w:rsid w:val="00C05EEE"/>
    <w:rsid w:val="00C07D18"/>
    <w:rsid w:val="00C117B0"/>
    <w:rsid w:val="00C14139"/>
    <w:rsid w:val="00C165F1"/>
    <w:rsid w:val="00C201F8"/>
    <w:rsid w:val="00C208DC"/>
    <w:rsid w:val="00C22DCA"/>
    <w:rsid w:val="00C26738"/>
    <w:rsid w:val="00C27B01"/>
    <w:rsid w:val="00C30946"/>
    <w:rsid w:val="00C31433"/>
    <w:rsid w:val="00C346E3"/>
    <w:rsid w:val="00C356F2"/>
    <w:rsid w:val="00C359AF"/>
    <w:rsid w:val="00C416FB"/>
    <w:rsid w:val="00C43E35"/>
    <w:rsid w:val="00C44FBF"/>
    <w:rsid w:val="00C50321"/>
    <w:rsid w:val="00C50BF2"/>
    <w:rsid w:val="00C57D41"/>
    <w:rsid w:val="00C619F2"/>
    <w:rsid w:val="00C71746"/>
    <w:rsid w:val="00C71FF2"/>
    <w:rsid w:val="00C73162"/>
    <w:rsid w:val="00C84E1C"/>
    <w:rsid w:val="00C867B1"/>
    <w:rsid w:val="00C9024F"/>
    <w:rsid w:val="00C92635"/>
    <w:rsid w:val="00CA050F"/>
    <w:rsid w:val="00CA37DC"/>
    <w:rsid w:val="00CA761F"/>
    <w:rsid w:val="00CB3FC8"/>
    <w:rsid w:val="00CB57A6"/>
    <w:rsid w:val="00CB63D4"/>
    <w:rsid w:val="00CB780A"/>
    <w:rsid w:val="00CC135A"/>
    <w:rsid w:val="00CC2E3D"/>
    <w:rsid w:val="00CD4344"/>
    <w:rsid w:val="00CE182E"/>
    <w:rsid w:val="00CE5F8C"/>
    <w:rsid w:val="00CE7F00"/>
    <w:rsid w:val="00CF1DB1"/>
    <w:rsid w:val="00D00E48"/>
    <w:rsid w:val="00D067D6"/>
    <w:rsid w:val="00D06A6F"/>
    <w:rsid w:val="00D071FD"/>
    <w:rsid w:val="00D07C7E"/>
    <w:rsid w:val="00D20AF2"/>
    <w:rsid w:val="00D319A0"/>
    <w:rsid w:val="00D328A0"/>
    <w:rsid w:val="00D4073D"/>
    <w:rsid w:val="00D46305"/>
    <w:rsid w:val="00D46BC5"/>
    <w:rsid w:val="00D55B5F"/>
    <w:rsid w:val="00D57298"/>
    <w:rsid w:val="00D61209"/>
    <w:rsid w:val="00D6432C"/>
    <w:rsid w:val="00D65A04"/>
    <w:rsid w:val="00D71F80"/>
    <w:rsid w:val="00D72A57"/>
    <w:rsid w:val="00D72A7D"/>
    <w:rsid w:val="00D82C5F"/>
    <w:rsid w:val="00D8471B"/>
    <w:rsid w:val="00D91A56"/>
    <w:rsid w:val="00D95847"/>
    <w:rsid w:val="00D96B2D"/>
    <w:rsid w:val="00DA19BF"/>
    <w:rsid w:val="00DA29CE"/>
    <w:rsid w:val="00DB0053"/>
    <w:rsid w:val="00DB0822"/>
    <w:rsid w:val="00DB0920"/>
    <w:rsid w:val="00DB2ED8"/>
    <w:rsid w:val="00DC06DC"/>
    <w:rsid w:val="00DC1FA9"/>
    <w:rsid w:val="00DC40BC"/>
    <w:rsid w:val="00DC5319"/>
    <w:rsid w:val="00DD69A4"/>
    <w:rsid w:val="00DD72B2"/>
    <w:rsid w:val="00DF219B"/>
    <w:rsid w:val="00DF307D"/>
    <w:rsid w:val="00DF39C7"/>
    <w:rsid w:val="00DF451D"/>
    <w:rsid w:val="00DF5905"/>
    <w:rsid w:val="00E01874"/>
    <w:rsid w:val="00E0187E"/>
    <w:rsid w:val="00E119B8"/>
    <w:rsid w:val="00E14CF7"/>
    <w:rsid w:val="00E165B7"/>
    <w:rsid w:val="00E1782F"/>
    <w:rsid w:val="00E21F80"/>
    <w:rsid w:val="00E2306B"/>
    <w:rsid w:val="00E2526D"/>
    <w:rsid w:val="00E259D3"/>
    <w:rsid w:val="00E268A5"/>
    <w:rsid w:val="00E304E4"/>
    <w:rsid w:val="00E40A2D"/>
    <w:rsid w:val="00E410B4"/>
    <w:rsid w:val="00E4385B"/>
    <w:rsid w:val="00E5009D"/>
    <w:rsid w:val="00E5281C"/>
    <w:rsid w:val="00E55218"/>
    <w:rsid w:val="00E578AD"/>
    <w:rsid w:val="00E57A11"/>
    <w:rsid w:val="00E63BB6"/>
    <w:rsid w:val="00E63C6F"/>
    <w:rsid w:val="00E7093E"/>
    <w:rsid w:val="00E74C4C"/>
    <w:rsid w:val="00E77A78"/>
    <w:rsid w:val="00E85835"/>
    <w:rsid w:val="00E864FD"/>
    <w:rsid w:val="00E90B21"/>
    <w:rsid w:val="00E91A6B"/>
    <w:rsid w:val="00E96151"/>
    <w:rsid w:val="00E9760D"/>
    <w:rsid w:val="00EA3D61"/>
    <w:rsid w:val="00EA5548"/>
    <w:rsid w:val="00EB0BEC"/>
    <w:rsid w:val="00EB366A"/>
    <w:rsid w:val="00EB3B51"/>
    <w:rsid w:val="00EC7EE3"/>
    <w:rsid w:val="00ED21F1"/>
    <w:rsid w:val="00EE1789"/>
    <w:rsid w:val="00EE374D"/>
    <w:rsid w:val="00EE3E23"/>
    <w:rsid w:val="00EE3EDB"/>
    <w:rsid w:val="00EE66F6"/>
    <w:rsid w:val="00F0147C"/>
    <w:rsid w:val="00F03D97"/>
    <w:rsid w:val="00F04789"/>
    <w:rsid w:val="00F12B4B"/>
    <w:rsid w:val="00F200D9"/>
    <w:rsid w:val="00F20B45"/>
    <w:rsid w:val="00F22769"/>
    <w:rsid w:val="00F24469"/>
    <w:rsid w:val="00F30182"/>
    <w:rsid w:val="00F32321"/>
    <w:rsid w:val="00F373A0"/>
    <w:rsid w:val="00F44012"/>
    <w:rsid w:val="00F454DD"/>
    <w:rsid w:val="00F54575"/>
    <w:rsid w:val="00F66EF1"/>
    <w:rsid w:val="00F75581"/>
    <w:rsid w:val="00F828F3"/>
    <w:rsid w:val="00F82F6E"/>
    <w:rsid w:val="00F847FA"/>
    <w:rsid w:val="00F95BC9"/>
    <w:rsid w:val="00FA1B70"/>
    <w:rsid w:val="00FA1BE3"/>
    <w:rsid w:val="00FA211E"/>
    <w:rsid w:val="00FA2BD7"/>
    <w:rsid w:val="00FB5990"/>
    <w:rsid w:val="00FD1E1E"/>
    <w:rsid w:val="00FD2AA4"/>
    <w:rsid w:val="00FD6892"/>
    <w:rsid w:val="00FD7FAE"/>
    <w:rsid w:val="00FE4AFD"/>
    <w:rsid w:val="00FE608B"/>
    <w:rsid w:val="00FE6B45"/>
    <w:rsid w:val="00FF2A34"/>
    <w:rsid w:val="00FF5F6B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7C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7C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7CDD"/>
    <w:rPr>
      <w:b/>
      <w:bCs/>
    </w:rPr>
  </w:style>
  <w:style w:type="character" w:customStyle="1" w:styleId="sc1">
    <w:name w:val="sc1"/>
    <w:basedOn w:val="a0"/>
    <w:rsid w:val="00516791"/>
  </w:style>
  <w:style w:type="character" w:styleId="a7">
    <w:name w:val="Hyperlink"/>
    <w:basedOn w:val="a0"/>
    <w:uiPriority w:val="99"/>
    <w:semiHidden/>
    <w:unhideWhenUsed/>
    <w:rsid w:val="00E91A6B"/>
    <w:rPr>
      <w:color w:val="0000CC"/>
      <w:u w:val="single"/>
    </w:rPr>
  </w:style>
  <w:style w:type="character" w:styleId="a8">
    <w:name w:val="annotation reference"/>
    <w:basedOn w:val="a0"/>
    <w:uiPriority w:val="99"/>
    <w:semiHidden/>
    <w:unhideWhenUsed/>
    <w:rsid w:val="00804893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04893"/>
    <w:pPr>
      <w:jc w:val="left"/>
    </w:pPr>
  </w:style>
  <w:style w:type="character" w:customStyle="1" w:styleId="Char1">
    <w:name w:val="批注文字 Char"/>
    <w:basedOn w:val="a0"/>
    <w:link w:val="a9"/>
    <w:uiPriority w:val="99"/>
    <w:semiHidden/>
    <w:rsid w:val="00804893"/>
  </w:style>
  <w:style w:type="paragraph" w:styleId="aa">
    <w:name w:val="Balloon Text"/>
    <w:basedOn w:val="a"/>
    <w:link w:val="Char2"/>
    <w:uiPriority w:val="99"/>
    <w:semiHidden/>
    <w:unhideWhenUsed/>
    <w:rsid w:val="00804893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04893"/>
    <w:rPr>
      <w:sz w:val="18"/>
      <w:szCs w:val="18"/>
    </w:rPr>
  </w:style>
  <w:style w:type="character" w:styleId="ab">
    <w:name w:val="Placeholder Text"/>
    <w:basedOn w:val="a0"/>
    <w:uiPriority w:val="99"/>
    <w:semiHidden/>
    <w:rsid w:val="003D11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2460</TotalTime>
  <Pages>4</Pages>
  <Words>869</Words>
  <Characters>3192</Characters>
  <Application>Microsoft Office Word</Application>
  <DocSecurity>0</DocSecurity>
  <Lines>112</Lines>
  <Paragraphs>30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zhaoyuanshu/ZY</dc:creator>
  <cp:keywords/>
  <dc:description/>
  <cp:lastModifiedBy>zhaoyuanshu/ZY</cp:lastModifiedBy>
  <cp:revision>272</cp:revision>
  <dcterms:created xsi:type="dcterms:W3CDTF">2016-05-30T05:19:00Z</dcterms:created>
  <dcterms:modified xsi:type="dcterms:W3CDTF">2016-09-05T05:03:00Z</dcterms:modified>
</cp:coreProperties>
</file>