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DB5008" w:rsidTr="0070285D">
        <w:tc>
          <w:tcPr>
            <w:tcW w:w="4786" w:type="dxa"/>
          </w:tcPr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276" w:lineRule="auto"/>
              <w:jc w:val="center"/>
              <w:outlineLvl w:val="1"/>
              <w:rPr>
                <w:rFonts w:ascii="한컴바탕" w:eastAsia="한컴바탕" w:hAnsi="한컴바탕" w:cs="한컴바탕"/>
                <w:b/>
                <w:bCs/>
                <w:color w:val="333333"/>
                <w:kern w:val="36"/>
                <w:sz w:val="26"/>
                <w:szCs w:val="26"/>
                <w:lang w:eastAsia="ko-KR"/>
              </w:rPr>
            </w:pPr>
            <w:bookmarkStart w:id="0" w:name="_GoBack"/>
            <w:bookmarkEnd w:id="0"/>
            <w:proofErr w:type="spellStart"/>
            <w:r w:rsidRPr="0032660D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36"/>
                <w:sz w:val="26"/>
                <w:szCs w:val="26"/>
                <w:lang w:eastAsia="ko-KR"/>
              </w:rPr>
              <w:t>북경시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36"/>
                <w:sz w:val="26"/>
                <w:szCs w:val="26"/>
                <w:lang w:eastAsia="ko-KR"/>
              </w:rPr>
              <w:t xml:space="preserve"> 기업사회보험료 한시적 감면 업무를 잘 하는 것에 대한 통지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　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京人社养字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〔2020〕29号</w:t>
            </w:r>
          </w:p>
          <w:p w:rsid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</w:pP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</w:p>
          <w:p w:rsid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각 구 인력자원사회보장국,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재정국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,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세무국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,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북경경제기술개발구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사회사업국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,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각 </w:t>
            </w:r>
            <w:proofErr w:type="gramStart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사회보험가입단위 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:</w:t>
            </w:r>
            <w:proofErr w:type="gramEnd"/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 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>&lt;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기업 사회보험료 한시적 감면에 대한 통지&gt;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>(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人社部发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〔2020〕11号)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등 관련 문건내용을 관철하기 위해,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북경시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 xml:space="preserve"> 정부의 동의를 얻고 기업의 기본양로보험,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실업보험,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 xml:space="preserve">산재보험(이하 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>3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가지 사회보험이라 함)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 xml:space="preserve">단위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납부분의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 xml:space="preserve"> 한시적 감면 관련 문제에 대해 아래와 같이 통지한다.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1.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기업 사회보험료를 한시적 감면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(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1) 2020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년 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2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월부터 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2020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년 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4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월까지 대형기업,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민간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非기업단위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,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사회단체 등 각종 사회조직의 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3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가지 사회보험 단위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납부분을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 반감 징수한다.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(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2) 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>2020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 xml:space="preserve">년 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>2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 xml:space="preserve">월부터 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>2020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 xml:space="preserve">년 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>6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 xml:space="preserve">월까지 중소영세기업(단위 형식으로 사회보험에 가입한 개인공상업자 포함)과 기타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특수형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 xml:space="preserve"> 단위(기관/사업단위는 제외)의 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>3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 xml:space="preserve">가지 사회보험 단위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납부분을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 xml:space="preserve"> 면제한다.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2.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어려운 사회보험가입단위의 사회보험료 연기 납부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spacing w:val="-10"/>
                <w:w w:val="90"/>
                <w:kern w:val="0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>방역 영향으로 인해 생산경영에 엄중한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곤란이 생긴 사회보험가입단위는 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>3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>가지 사회보험료 연기 납부를 신청할 수 있으며,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>심사에 통과된 후에는 연기 납부기간에 체납금을 면제한다.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월별 의무납부 사회보험료의 연기납부는 원칙상 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>6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>개월을 초과하지 아니하며,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연기납부 집행기간은 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10"/>
                <w:w w:val="90"/>
                <w:kern w:val="0"/>
                <w:szCs w:val="21"/>
                <w:lang w:eastAsia="ko-KR"/>
              </w:rPr>
              <w:lastRenderedPageBreak/>
              <w:t>2020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년 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>12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월 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>20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>일까지로 한다</w:t>
            </w:r>
            <w:proofErr w:type="gram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>.아울러</w:t>
            </w:r>
            <w:proofErr w:type="gram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 사회보험가입단위는 종업원과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>협상일치를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 달성하여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>원천공제하는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 개인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>납부분도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>연기납부할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 수 있고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연기납부기간에 기업 기본양로보험 개인계좌의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>의무납부액은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 이자를 계산하지 아니하며, 사회보험가입단위는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10"/>
                <w:w w:val="90"/>
                <w:kern w:val="0"/>
                <w:szCs w:val="21"/>
                <w:lang w:eastAsia="ko-KR"/>
              </w:rPr>
              <w:t>기간만료 전에 제때에 납부한다.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연기 납부기간에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기본양로금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 수령,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성(省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)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간 이전연결 수속처리,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실업보험금 수령,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사망청산 등 계좌 청산업무가 필요한 종업원이 있는 경우 사회보험가입단위는 개별적으로 종업원의 납부수속을 처리해야 한다.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3.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기타 사항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(1)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기업 유형(类型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)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.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8"/>
                <w:w w:val="9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북경시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 xml:space="preserve"> 인력자원사회보장국과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재정국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,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8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 xml:space="preserve">세무국은 공동 협력하여 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&lt;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중소기업 유형(类型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)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 xml:space="preserve"> 기준 규정을 인쇄 발부하는 것에 대한 통지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&gt;(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工信部联企业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〔2011〕300号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)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 xml:space="preserve">와 《&lt;통계분야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대중소영세기업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 xml:space="preserve"> 구분방법(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8"/>
                <w:w w:val="90"/>
                <w:kern w:val="0"/>
                <w:szCs w:val="21"/>
                <w:lang w:eastAsia="ko-KR"/>
              </w:rPr>
              <w:t xml:space="preserve">2017)&gt;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인쇄 발부에 대한 통지》(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国统字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〔2017〕213号)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8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등 규정에 따라 통계와 세무데이터에 의거하여 공동으로 기업유형(类型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)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 xml:space="preserve"> 확정업무를 확실하게 처리해야 한다</w:t>
            </w:r>
            <w:proofErr w:type="gram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.기타</w:t>
            </w:r>
            <w:proofErr w:type="gram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 xml:space="preserve"> 기업유형(类型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)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을 구분하기 어려운 기업은 사회보험가입 등 지표(指标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)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에 따라 업종 특징에 결부시켜 기업 유형(类型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)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8"/>
                <w:w w:val="90"/>
                <w:kern w:val="0"/>
                <w:szCs w:val="21"/>
                <w:lang w:eastAsia="ko-KR"/>
              </w:rPr>
              <w:t>을 확정한다.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spacing w:val="-6"/>
                <w:w w:val="90"/>
                <w:kern w:val="0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 xml:space="preserve">기업은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북경시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 xml:space="preserve"> 사회보험온라인서비스플랫폼을 통해 기업유형(类型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)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 xml:space="preserve"> 결과를 조회할 수 있으며,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6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기업유형(类型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)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 xml:space="preserve"> 구분결과에 이의가 있는 경우에는 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3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 xml:space="preserve">월말전에 소재 구 사회보험취급기구에 변경신청을 제출함과 아울러 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2019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 xml:space="preserve">년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본단위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 xml:space="preserve"> 소속업종,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6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영업수입,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6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자본총액,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6"/>
                <w:w w:val="90"/>
                <w:kern w:val="0"/>
                <w:szCs w:val="21"/>
                <w:lang w:eastAsia="ko-KR"/>
              </w:rPr>
              <w:t xml:space="preserve"> 2019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 xml:space="preserve">년 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12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월 실제 종업원 수를 제출해야 한다.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6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원칙상 사회보험가입기업의 유형(类型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)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6"/>
                <w:w w:val="90"/>
                <w:kern w:val="0"/>
                <w:szCs w:val="21"/>
                <w:lang w:eastAsia="ko-KR"/>
              </w:rPr>
              <w:t>은 일단 확정된 경우 정책 집행기간에는 다시 변경을 하지 아니한다.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(2)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>연기납부 신청.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조건에 부합되는 사회보험가입단위는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>북경시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 인력자원사회보장국 홈페이지,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 “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>북경인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lastRenderedPageBreak/>
              <w:t>사(人社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4"/>
                <w:w w:val="90"/>
                <w:kern w:val="0"/>
                <w:szCs w:val="21"/>
                <w:lang w:eastAsia="ko-KR"/>
              </w:rPr>
              <w:t>)”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 APP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,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>위챗공중호를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 통해 연기납부 신청을 제출할 수 있으며,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 &lt;3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>가지 사회보험료 한시적 연기납부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협의서&gt;를 체결하여 심사에 통과된 후 연기납부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>협의서상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 약정에 따라 집행한다.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 2020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년 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4"/>
                <w:w w:val="90"/>
                <w:kern w:val="0"/>
                <w:szCs w:val="21"/>
                <w:lang w:eastAsia="ko-KR"/>
              </w:rPr>
              <w:t>3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월 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4"/>
                <w:w w:val="90"/>
                <w:kern w:val="0"/>
                <w:szCs w:val="21"/>
                <w:lang w:eastAsia="ko-KR"/>
              </w:rPr>
              <w:t>9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일부터 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4"/>
                <w:w w:val="90"/>
                <w:kern w:val="0"/>
                <w:szCs w:val="21"/>
                <w:lang w:eastAsia="ko-KR"/>
              </w:rPr>
              <w:t>14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>일까지 연기납부 신청을 수리하며,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 4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월부터 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4"/>
                <w:w w:val="90"/>
                <w:kern w:val="0"/>
                <w:szCs w:val="21"/>
                <w:lang w:eastAsia="ko-KR"/>
              </w:rPr>
              <w:t>11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월까지는 매월 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4"/>
                <w:w w:val="90"/>
                <w:kern w:val="0"/>
                <w:szCs w:val="21"/>
                <w:lang w:eastAsia="ko-KR"/>
              </w:rPr>
              <w:t>1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일부터 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4"/>
                <w:w w:val="90"/>
                <w:kern w:val="0"/>
                <w:szCs w:val="21"/>
                <w:lang w:eastAsia="ko-KR"/>
              </w:rPr>
              <w:t>5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>일까지 수리한다.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관광,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숙박,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요식,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전시회,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상업무역유통,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교통운수,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교육훈련,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문예공연,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영화와 텔레비전 및 극장,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 xml:space="preserve">빙설운동 등 비교적 큰 영향을 받은 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>10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 xml:space="preserve">가지 업종 기업은 이미 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>7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월말까지 사회보험료 연기납부를 신청한 경우 자체 상황에 근거하여 상술한 요구에 따라 다시 연기납부를 신청할 수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있으며 더 이상 업종 주관부서의 확인을 받을 필요는 없다.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2020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년 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1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월달 사회보험료를 납부하지 아니한 사회보험가입단위는 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7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월말 전까지 연기하여 납부할 수 있다.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4.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기업은 법에 따라 종업원 개인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>납부분의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 원천징수 의무를 이행해야 하며,</w:t>
            </w:r>
            <w:r w:rsidRPr="0032660D">
              <w:rPr>
                <w:rFonts w:ascii="한컴바탕" w:eastAsia="한컴바탕" w:hAnsi="한컴바탕" w:cs="한컴바탕"/>
                <w:color w:val="404040"/>
                <w:spacing w:val="-4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spacing w:val="-4"/>
                <w:w w:val="90"/>
                <w:kern w:val="0"/>
                <w:szCs w:val="21"/>
                <w:lang w:eastAsia="ko-KR"/>
              </w:rPr>
              <w:t>사회보험취급기구는 개인 권익기록업무를 확실하게 하여 사회보험가입인원의 사회보험 권익에 영향이 미치지 않도록 보장해야 한다.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 xml:space="preserve">5.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각급 인력자원사회보장,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재정,</w:t>
            </w:r>
            <w:r w:rsidRPr="0032660D">
              <w:rPr>
                <w:rFonts w:ascii="한컴바탕" w:eastAsia="한컴바탕" w:hAnsi="한컴바탕" w:cs="한컴바탕"/>
                <w:color w:val="404040"/>
                <w:w w:val="90"/>
                <w:kern w:val="0"/>
                <w:szCs w:val="21"/>
                <w:lang w:eastAsia="ko-KR"/>
              </w:rPr>
              <w:t xml:space="preserve"> 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w w:val="90"/>
                <w:kern w:val="0"/>
                <w:szCs w:val="21"/>
                <w:lang w:eastAsia="ko-KR"/>
              </w:rPr>
              <w:t>세무부서는 직책을 확실하게 이행하고 소통과 협력을 강화하여 방역기간 기업의 사회보험 업무를 철저하게 처리함으로써 기업의 사회보험료 감면 등 제반 정책조치가 확실하게 관철되도록 보장해야 한다.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jc w:val="right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북경시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 인력자원사회보장국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jc w:val="right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북경시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재정국</w:t>
            </w:r>
            <w:proofErr w:type="spellEnd"/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jc w:val="right"/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</w:pP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북경시</w:t>
            </w:r>
            <w:proofErr w:type="spellEnd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세무국</w:t>
            </w:r>
            <w:proofErr w:type="spellEnd"/>
          </w:p>
          <w:p w:rsidR="00DB5008" w:rsidRPr="007D39C8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21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2020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년 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3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 xml:space="preserve">월 </w:t>
            </w:r>
            <w:r w:rsidRPr="0032660D">
              <w:rPr>
                <w:rFonts w:ascii="한컴바탕" w:eastAsia="한컴바탕" w:hAnsi="한컴바탕" w:cs="한컴바탕"/>
                <w:color w:val="404040"/>
                <w:kern w:val="0"/>
                <w:szCs w:val="21"/>
                <w:lang w:eastAsia="ko-KR"/>
              </w:rPr>
              <w:t>8</w:t>
            </w:r>
            <w:r w:rsidRPr="0032660D">
              <w:rPr>
                <w:rFonts w:ascii="한컴바탕" w:eastAsia="한컴바탕" w:hAnsi="한컴바탕" w:cs="한컴바탕" w:hint="eastAsia"/>
                <w:color w:val="404040"/>
                <w:kern w:val="0"/>
                <w:szCs w:val="21"/>
                <w:lang w:eastAsia="ko-KR"/>
              </w:rPr>
              <w:t>일</w:t>
            </w:r>
          </w:p>
        </w:tc>
        <w:tc>
          <w:tcPr>
            <w:tcW w:w="538" w:type="dxa"/>
          </w:tcPr>
          <w:p w:rsidR="00DB5008" w:rsidRPr="00725B68" w:rsidRDefault="00DB5008" w:rsidP="00DB5008">
            <w:pPr>
              <w:wordWrap w:val="0"/>
              <w:spacing w:line="290" w:lineRule="atLeas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00" w:lineRule="auto"/>
              <w:jc w:val="center"/>
              <w:outlineLvl w:val="1"/>
              <w:rPr>
                <w:rFonts w:ascii="SimSun" w:hAnsi="SimSun" w:cs="SimSun" w:hint="eastAsia"/>
                <w:b/>
                <w:bCs/>
                <w:color w:val="333333"/>
                <w:kern w:val="36"/>
                <w:sz w:val="26"/>
                <w:szCs w:val="26"/>
                <w:lang w:eastAsia="ko-KR"/>
              </w:rPr>
            </w:pPr>
            <w:bookmarkStart w:id="1" w:name="_Hlk34589918"/>
            <w:r w:rsidRPr="0032660D">
              <w:rPr>
                <w:rFonts w:ascii="SimSun" w:eastAsia="SimSun" w:hAnsi="SimSun" w:cs="SimSun" w:hint="eastAsia"/>
                <w:b/>
                <w:bCs/>
                <w:color w:val="333333"/>
                <w:kern w:val="36"/>
                <w:sz w:val="26"/>
                <w:szCs w:val="26"/>
              </w:rPr>
              <w:t>关于做好北京市阶段性减免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00" w:lineRule="auto"/>
              <w:jc w:val="center"/>
              <w:outlineLvl w:val="1"/>
              <w:rPr>
                <w:rFonts w:ascii="SimSun" w:eastAsia="SimSun" w:hAnsi="SimSun" w:cs="SimSun"/>
                <w:b/>
                <w:bCs/>
                <w:color w:val="333333"/>
                <w:kern w:val="36"/>
                <w:sz w:val="26"/>
                <w:szCs w:val="26"/>
              </w:rPr>
            </w:pPr>
            <w:r w:rsidRPr="0032660D">
              <w:rPr>
                <w:rFonts w:ascii="SimSun" w:eastAsia="SimSun" w:hAnsi="SimSun" w:cs="SimSun" w:hint="eastAsia"/>
                <w:b/>
                <w:bCs/>
                <w:color w:val="333333"/>
                <w:kern w:val="36"/>
                <w:sz w:val="26"/>
                <w:szCs w:val="26"/>
              </w:rPr>
              <w:t>企业社会保险费工作的通知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00" w:lineRule="auto"/>
              <w:jc w:val="center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 xml:space="preserve">　京人社养字〔2020〕29号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</w:p>
          <w:p w:rsid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  <w:lang w:eastAsia="ko-KR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各区人力资源和社会保障局、财政局、税务局，北京经济技术开发区社会事业局，各参保单位：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SimSun" w:hAnsi="SimSun" w:cs="SimSun"/>
                <w:color w:val="404040"/>
                <w:kern w:val="0"/>
                <w:szCs w:val="21"/>
                <w:lang w:eastAsia="ko-KR"/>
              </w:rPr>
            </w:pPr>
          </w:p>
          <w:p w:rsid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为贯彻落实《关于阶段性减免企业社会保险费的通知》(人社部发〔2020〕11号)等有关文件精神，经市政府同意，现就阶段性减免企业基本养老保险、失业保险、工伤保险(以下简称三项社会保险)单位缴费部分有关问题通知如下：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kern w:val="0"/>
                <w:szCs w:val="21"/>
              </w:rPr>
            </w:pP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 xml:space="preserve">　　一、阶段性减免企业社会保险费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 xml:space="preserve">　　(一)2020年2月至2020年4月，减半征收大型企业，民办非企业单位、社会团体等各类社会组织三项社会保险单位缴费部分。</w:t>
            </w:r>
          </w:p>
          <w:p w:rsid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w w:val="9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(二)</w:t>
            </w:r>
            <w:r w:rsidRPr="0032660D">
              <w:rPr>
                <w:rFonts w:ascii="SimSun" w:eastAsia="SimSun" w:hAnsi="SimSun" w:cs="SimSun" w:hint="eastAsia"/>
                <w:color w:val="404040"/>
                <w:w w:val="90"/>
                <w:kern w:val="0"/>
                <w:szCs w:val="21"/>
              </w:rPr>
              <w:t>2020年2月至2020年6月，免征中小微企业(包括以单位形式参保的个体工商户)和其他特殊类型单位(不含机关事业单位)三项社会保险单位缴费部分。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kern w:val="0"/>
                <w:szCs w:val="21"/>
              </w:rPr>
            </w:pP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 xml:space="preserve">　　二、缓缴困难参保单位社会保险费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 xml:space="preserve">　　受疫情影响生产经营出现严重困难的参保单位，可申请缓缴三项社会保险费，审核通过后，缓缴期间免收滞纳金，每月应缴费用缓缴期限原则上不超过6个月，缓缴执行期截至2020年12</w:t>
            </w: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lastRenderedPageBreak/>
              <w:t>月20日。参保单位与职工协商一致，可以同时缓缴代扣代缴个人缴费部分，缓缴期间的企业基本养老保险个人账户应缴费额不计息，期满前由参保单位及时缴费。</w:t>
            </w:r>
          </w:p>
          <w:p w:rsid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缓缴期间，如遇有领取基本养老金、办理跨省转移接续、申领失业保险金、死亡清算等涉及账户清算业务的职工，参保单位需要单独为职工办理缴费手续。  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kern w:val="0"/>
                <w:szCs w:val="21"/>
              </w:rPr>
            </w:pP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 xml:space="preserve">　　三、其他事项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 xml:space="preserve">　　(一)企业划型。市人力资源社会保障局和市财政局、市税务局协作配合，根据《关于印发中小企业划型标准规定的通知》(工信部联企业〔2011〕300号)和《关于印发&lt;统计上大中小微型企业划分办法(2017)&gt;的通知》(国统字〔2017〕213号)等规定，以统计和税务数据为依据共同做好企业划型工作。其他无法划型企业，依据参保人员等指标，结合行业特点进行划型。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 xml:space="preserve">　　企业可以通过北京市社会保险网上服务平台查询划型结果，对划型结果有异议的，应在3月底前向所属区社保经办机构提出变更申请，同时提交2019年本单位所属行业、营业收入、资产总额、2019年12月实际从业人数。原则上，参保企业类型一旦划定，政策执行期间不做变动。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 xml:space="preserve">　　(二)缓缴申请。符合条件的参保单位可以登录北京市人力资源和社会保障</w:t>
            </w: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lastRenderedPageBreak/>
              <w:t>局网站、“北京人社”APP、微信公众号提交缓缴申请，签订《阶段性缓缴三项社会保险费协议》，审核通过后，依据缓缴协议约定执行。2020年3月9日至14日受理缓缴申请，4月至11月期间每月1日至5 日受理。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 xml:space="preserve">　　旅游、住宿、餐饮、会展、商贸流通、交通运输、教育培训、文艺演出、影视剧院、冰雪体育等受影响较大的十类行业企业，已申请延长缴纳社会保险费至7月底的，需根据自身情况，按照上述要求重新申请缓缴，不再需要行业主管部门确认。</w:t>
            </w:r>
          </w:p>
          <w:p w:rsid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未缴纳2020年1月份社会保险费的参保单位，可延长至7月底前完成该项缴费。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kern w:val="0"/>
                <w:szCs w:val="21"/>
              </w:rPr>
            </w:pPr>
          </w:p>
          <w:p w:rsid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 w:hint="eastAsia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>四、企业要依法履行好代扣代缴职工个人缴费的义务，社保经办机构要做好个人权益记录工作，要确保参保人员社会保险权益不受影响。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SimSun" w:hAnsi="SimSun" w:cs="SimSun"/>
                <w:color w:val="404040"/>
                <w:kern w:val="0"/>
                <w:szCs w:val="21"/>
              </w:rPr>
            </w:pP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 xml:space="preserve">　　五、各级人力资源社会保障、财政、税务部门，切实履行职责，加强沟通配合，全力做好疫情防控期间企业社会保险工作，确保企业社会保险费减免等各项政策措施落实到位。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 xml:space="preserve">　　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 xml:space="preserve">　　北京市人力资源社会保障局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 xml:space="preserve">　　北京市财政局</w:t>
            </w:r>
          </w:p>
          <w:p w:rsidR="0032660D" w:rsidRPr="0032660D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SimSun" w:eastAsia="SimSun" w:hAnsi="SimSun" w:cs="SimSun"/>
                <w:color w:val="404040"/>
                <w:kern w:val="0"/>
                <w:szCs w:val="21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 xml:space="preserve">　　北京市税务局</w:t>
            </w:r>
          </w:p>
          <w:p w:rsidR="00DB5008" w:rsidRPr="007D39C8" w:rsidRDefault="0032660D" w:rsidP="0032660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sz w:val="26"/>
                <w:szCs w:val="26"/>
              </w:rPr>
            </w:pPr>
            <w:r w:rsidRPr="0032660D">
              <w:rPr>
                <w:rFonts w:ascii="SimSun" w:eastAsia="SimSun" w:hAnsi="SimSun" w:cs="SimSun" w:hint="eastAsia"/>
                <w:color w:val="404040"/>
                <w:kern w:val="0"/>
                <w:szCs w:val="21"/>
              </w:rPr>
              <w:t xml:space="preserve">　　2020年3月8日</w:t>
            </w:r>
            <w:bookmarkEnd w:id="1"/>
          </w:p>
        </w:tc>
      </w:tr>
    </w:tbl>
    <w:p w:rsidR="00100135" w:rsidRPr="0032660D" w:rsidRDefault="00100135">
      <w:pPr>
        <w:rPr>
          <w:sz w:val="16"/>
        </w:rPr>
      </w:pPr>
    </w:p>
    <w:sectPr w:rsidR="00100135" w:rsidRPr="0032660D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A0" w:rsidRDefault="005E2AA0" w:rsidP="00C278F4">
      <w:r>
        <w:separator/>
      </w:r>
    </w:p>
  </w:endnote>
  <w:endnote w:type="continuationSeparator" w:id="0">
    <w:p w:rsidR="005E2AA0" w:rsidRDefault="005E2AA0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A0" w:rsidRDefault="005E2AA0" w:rsidP="00C278F4">
      <w:r>
        <w:separator/>
      </w:r>
    </w:p>
  </w:footnote>
  <w:footnote w:type="continuationSeparator" w:id="0">
    <w:p w:rsidR="005E2AA0" w:rsidRDefault="005E2AA0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DD4F14"/>
    <w:multiLevelType w:val="hybridMultilevel"/>
    <w:tmpl w:val="8020C9B2"/>
    <w:lvl w:ilvl="0" w:tplc="75141336">
      <w:numFmt w:val="bullet"/>
      <w:lvlText w:val="-"/>
      <w:lvlJc w:val="left"/>
      <w:pPr>
        <w:ind w:left="760" w:hanging="360"/>
      </w:pPr>
      <w:rPr>
        <w:rFonts w:ascii="한컴바탕" w:eastAsia="한컴바탕" w:hAnsi="한컴바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6115DD"/>
    <w:multiLevelType w:val="hybridMultilevel"/>
    <w:tmpl w:val="133E8924"/>
    <w:lvl w:ilvl="0" w:tplc="0BF2A276">
      <w:numFmt w:val="bullet"/>
      <w:lvlText w:val="-"/>
      <w:lvlJc w:val="left"/>
      <w:pPr>
        <w:ind w:left="76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3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4"/>
  </w:num>
  <w:num w:numId="14">
    <w:abstractNumId w:val="11"/>
  </w:num>
  <w:num w:numId="15">
    <w:abstractNumId w:val="15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52868"/>
    <w:rsid w:val="00055C6A"/>
    <w:rsid w:val="000659F8"/>
    <w:rsid w:val="00065F42"/>
    <w:rsid w:val="00091D9B"/>
    <w:rsid w:val="00093ED3"/>
    <w:rsid w:val="000969CD"/>
    <w:rsid w:val="000D115A"/>
    <w:rsid w:val="00100135"/>
    <w:rsid w:val="00112071"/>
    <w:rsid w:val="00135A6C"/>
    <w:rsid w:val="00140993"/>
    <w:rsid w:val="0015136D"/>
    <w:rsid w:val="0016200D"/>
    <w:rsid w:val="00166522"/>
    <w:rsid w:val="00195BE9"/>
    <w:rsid w:val="001A2B88"/>
    <w:rsid w:val="001A612D"/>
    <w:rsid w:val="001D31E0"/>
    <w:rsid w:val="001F2DDE"/>
    <w:rsid w:val="001F4507"/>
    <w:rsid w:val="002004A8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2660D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2048E"/>
    <w:rsid w:val="00432A54"/>
    <w:rsid w:val="00444F1B"/>
    <w:rsid w:val="00450E11"/>
    <w:rsid w:val="00470C94"/>
    <w:rsid w:val="00470D1E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E2AA0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843DF"/>
    <w:rsid w:val="006A1DED"/>
    <w:rsid w:val="006C28B6"/>
    <w:rsid w:val="006E1838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D39C8"/>
    <w:rsid w:val="007E358B"/>
    <w:rsid w:val="0080100B"/>
    <w:rsid w:val="008026B7"/>
    <w:rsid w:val="00820B40"/>
    <w:rsid w:val="00820E98"/>
    <w:rsid w:val="00827BB7"/>
    <w:rsid w:val="00844C62"/>
    <w:rsid w:val="00846ACB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91600"/>
    <w:rsid w:val="009A478E"/>
    <w:rsid w:val="009A4BE1"/>
    <w:rsid w:val="009A6824"/>
    <w:rsid w:val="009B0986"/>
    <w:rsid w:val="009C24AE"/>
    <w:rsid w:val="009D3790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AF73F0"/>
    <w:rsid w:val="00B02757"/>
    <w:rsid w:val="00B12443"/>
    <w:rsid w:val="00B1249E"/>
    <w:rsid w:val="00B17270"/>
    <w:rsid w:val="00B86A82"/>
    <w:rsid w:val="00B87E3D"/>
    <w:rsid w:val="00B96E54"/>
    <w:rsid w:val="00BA0053"/>
    <w:rsid w:val="00BA7173"/>
    <w:rsid w:val="00BB1357"/>
    <w:rsid w:val="00BB6FFC"/>
    <w:rsid w:val="00BC67B4"/>
    <w:rsid w:val="00BD2273"/>
    <w:rsid w:val="00C00BAA"/>
    <w:rsid w:val="00C278F4"/>
    <w:rsid w:val="00C32E2B"/>
    <w:rsid w:val="00C331D8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6B85"/>
    <w:rsid w:val="00D20DB7"/>
    <w:rsid w:val="00D420AB"/>
    <w:rsid w:val="00D44DCD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758D"/>
    <w:rsid w:val="00EE4CB9"/>
    <w:rsid w:val="00F01C22"/>
    <w:rsid w:val="00F078AB"/>
    <w:rsid w:val="00F32227"/>
    <w:rsid w:val="00F6633C"/>
    <w:rsid w:val="00F74269"/>
    <w:rsid w:val="00F77275"/>
    <w:rsid w:val="00F83BC3"/>
    <w:rsid w:val="00F916FD"/>
    <w:rsid w:val="00F959A8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paragraph" w:styleId="2">
    <w:name w:val="heading 2"/>
    <w:basedOn w:val="a"/>
    <w:link w:val="2Char"/>
    <w:uiPriority w:val="9"/>
    <w:qFormat/>
    <w:rsid w:val="007D39C8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7D39C8"/>
    <w:rPr>
      <w:rFonts w:ascii="SimSun" w:eastAsia="SimSun" w:hAnsi="SimSun" w:cs="SimSun"/>
      <w:b/>
      <w:bCs/>
      <w:kern w:val="0"/>
      <w:sz w:val="36"/>
      <w:szCs w:val="36"/>
      <w:lang w:eastAsia="zh-CN"/>
    </w:rPr>
  </w:style>
  <w:style w:type="character" w:customStyle="1" w:styleId="richmediameta">
    <w:name w:val="rich_media_meta"/>
    <w:basedOn w:val="a0"/>
    <w:rsid w:val="007D39C8"/>
  </w:style>
  <w:style w:type="character" w:customStyle="1" w:styleId="apple-converted-space">
    <w:name w:val="apple-converted-space"/>
    <w:basedOn w:val="a0"/>
    <w:rsid w:val="007D39C8"/>
  </w:style>
  <w:style w:type="character" w:styleId="ac">
    <w:name w:val="Emphasis"/>
    <w:basedOn w:val="a0"/>
    <w:uiPriority w:val="20"/>
    <w:qFormat/>
    <w:rsid w:val="007D39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7DDC-52F2-40A1-BC8F-2AB851D7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54</cp:revision>
  <dcterms:created xsi:type="dcterms:W3CDTF">2016-01-15T03:23:00Z</dcterms:created>
  <dcterms:modified xsi:type="dcterms:W3CDTF">2020-03-09T05:36:00Z</dcterms:modified>
</cp:coreProperties>
</file>