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8C7C4E" w:rsidTr="001319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C7C4E" w:rsidRPr="00852980" w:rsidRDefault="008C7C4E" w:rsidP="00852980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85298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소형·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미형기업의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건강한 발전 지원에 관한 국무원의 의견</w:t>
            </w:r>
          </w:p>
          <w:p w:rsidR="008C7C4E" w:rsidRPr="00852980" w:rsidRDefault="008C7C4E" w:rsidP="00852980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국발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[2014]52호号</w:t>
            </w:r>
          </w:p>
          <w:p w:rsidR="008C7C4E" w:rsidRPr="00852980" w:rsidRDefault="008C7C4E" w:rsidP="008529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52980" w:rsidRPr="00852980" w:rsidRDefault="00852980" w:rsidP="008529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성·자치구·직할시 인민정부, 국무원 각 부서와 직속기구: 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10"/>
                <w:szCs w:val="21"/>
              </w:rPr>
            </w:pPr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공상등기제도 개혁 추진에 따라 시장활력과 창업열정이 폭발하면서 소형·미형(微型)기업 수가 급격히 늘어나고 있다. 소형·미형(微型)기업의 급증은 경제발전과 취업의 활성화에 긍정적인 영향을 미치고 있는 한편, 그 발전과정에 난관과 문제들이 수반되고 있다. 소형·미형(微型)기업(자영업자 포함)이 건강하게 발전할 수 있도록 지원하기 위하여 다음과 같이 의견을 제시하는 바이다.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1. </w:t>
            </w:r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기존 중소기업육성자금의 유도적 기능을 충분히 발휘하여 소형·미형(微型)기업을 중소기업육성자금 지원대상 범위에 포함시키는 것을 격려한다. (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발전개혁위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과학기술부,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공상총국 등 부서가 책임지고 추진한다.)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8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2. </w:t>
            </w:r>
            <w:r w:rsidRPr="0085298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이미 출범한 소형·미형(微型)기업 조세우대 정책을 확실하게 시행하고 상황 발전의 수요에 따라 후속적인 지원정책을 연구·출범한다. 소형·미형(微型)기업이 국가에서 발전을 격려하는 투자프로젝트 운영에 필요로 하는 국내생산이 불가능한 선진설비 수입 시 관련 규정에 따라 관세를 면제받는다. (재정부가 책임지고 세무총국, 공상총국,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공업정보화부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, 해관총서 등 부서와 협력하여 추진한다.)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3. </w:t>
            </w:r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소기업 창업기지(미형(微型)기업 창업보육센터, 과학기술창업보육센터, 상업무역기업단지 등) 육성에 대한 중소기업육성자금의 지원을 확대한다.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대중형기업이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산업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벨류체인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내의 소형·미형(微型)기업을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리더하여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해당 산업의 집중화와 단결화 발전을 실현하는 것을 격려한다. (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과학기술부,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공상총국 등 부서가 책임진다.) 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4. </w:t>
            </w:r>
            <w:r w:rsidRPr="00852980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취업취약계층을 고용한 소형·미형(微型)기업에게 관련 규정에 따라 사회보험보조금을 지원한다. 장애인 고용인원 수가 규정된 비율 미달이고 임직원 수가 20명 이하(20명 포함)인 소형·미형(微型)기업은 공상등기·등록일로부터 3년간 장애인취업보장금 납부의무를 면제받는다. (인력자원사회보장부가 책임지고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재정부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 xml:space="preserve">, 중국장애인연합회와 협력하여 추진한다.)    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5. </w:t>
            </w:r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각 급 정부가 설립한 창업투자유도기금의 소</w:t>
            </w:r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lastRenderedPageBreak/>
              <w:t xml:space="preserve">형·미형(微型)기업에 대한 적극 지원을 격려한다. 창업투자기금, 엔젤펀드(angel fund),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시드머니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(Seed money)의 소형·미형(微型)기업에 대한 투자를 적극 유도한다. 특정 요건을 갖춘 소형·미형(微型)기업은 규정에 따라 소액담보대출 지원정책을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적용받는다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. (재정부가 책임지고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발전개혁위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공업정보화부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증권감독관리위원회, 과학기술부,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상무부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인력자원사회보장부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등 부서와 협력하여 추진한다.)</w:t>
            </w: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10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6. </w:t>
            </w:r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소형·미형(微型)기업의 융자담보 정책을 진일보 개선한다. 정부가 지원하는 담보기구를 대대적으로 발전시킴과 동시에 담보기구가 소형·미형(微型)기업에 대한 담보업무 규모를 확대하고 담보비용을 합리적으로 설정할 수 있도록 유도한다. 소형·미형(微型)기업의 융자담보에 대한 재정지원을 진일보 강화하고 업무보조금,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업무확대분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장려, 자본투입, 보상금, 혁신 장려 등 방식을 통해 담보기구, 금융기구 및 무역통합서비스기업의 소형·미형(微型)기업에 대한 융자서비스를 유도한다. (은행감독관리위원회가 책임지고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발전개혁위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공업정보화부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재정부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과학기술부,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상무부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인력자원사회보장부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, 인민은행, 세무총국 등 부서와 협력하여 추진한다.)</w:t>
            </w: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10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7. </w:t>
            </w:r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대형은행의 지점망 우세를 충분히 이용한 소형·미형(微型)기업 금융서비스 전문기구 사업 추진 강화를 격려한다. 중소형은행이 소형·미형(微型)기업 금융서비스 개선과 전략 전환을 결부시켜 신용대출 구조를 과학적으로 조정하고 소형·미형(微型)기업과 지역경제 발전을 중점적으로 지원할 수 있도록 유도한다.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은행업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금융기구의 소형·미형(微型)기업의 경영 특징과 융자수요 특징을 고려한 제품·서비스 혁신을 유도한다. 각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은행업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금융기구는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비지니스의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지속 가능성과 효율적인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리스크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통제를 전제로 소형·미형(微型)기업 신용대출 계획을 별도로 수립한다. 감독·관리 강화를 전제로, 특정 요건을 갖춘 민간자본의 법에 따른 중소형은행 등 금융기구 설립을 대대적으로 추진한다. (은행감독관리위원회가 책임지고 인민은행,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발전개혁위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재정부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공업정보화부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, 과학기술부,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상무부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등 부서와 협력하여 추진한다.)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8. </w:t>
            </w:r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소형·미형(微型)기업에 취업하는 대학졸업생은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취업지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시·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현급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공공취업인재서비스기구에서 개인기록(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档案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)을 무료로 보관할 수 있다. (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공상총국 등 부서가 책임진다.) </w:t>
            </w:r>
          </w:p>
          <w:p w:rsidR="00852980" w:rsidRDefault="00852980" w:rsidP="00852980">
            <w:pPr>
              <w:wordWrap w:val="0"/>
              <w:autoSpaceDN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9. </w:t>
            </w:r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소형·미형(微型)기업 발전 지원을 위한 정보 연결·소통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매커니즘을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구축한다. 공상행정관리부서의 기업정보공시 시스템을 기반으로 기업 자진신고의 방식으로 소형·미형(微型)기업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명록을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 xml:space="preserve">구축하고 각 유형의 부양정책과 시행에 관한 정보를 집중적으로 공개한다. 통합 신용정보 플랫폼을 통해 공상등록·등기, 행정허가, 세금 납부, 사회보험 납부 등 정보를 수집하고 소형·미형(微型)기업 신용정보 공유화를 추진하며 소형·미형(微型)기업 신용시스템 구축을 촉진시킨다. 정보의 공개·공유 및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빅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데이터,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클라우드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컴퓨팅 등 현대정보기술을 이용하여 정부부서와 은행, 증권, 보험 등 전문기구의 서비스 효율성을 향상시킨다. 소형·미형(微型)기업 중에서 일정한 비율을 대상으로 추출하여 추적조사를 실시하고 모니터링과 분석을 강화한다. (공상총국,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발전개혁위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, 세무총구,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공업정보화부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인력자원사회보장부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, 인민은행, 질량감독총국, 통계국 등 부서가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채임진다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.)</w:t>
            </w:r>
          </w:p>
          <w:p w:rsidR="00852980" w:rsidRPr="00852980" w:rsidRDefault="00852980" w:rsidP="00852980">
            <w:pPr>
              <w:wordWrap w:val="0"/>
              <w:autoSpaceDN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10. </w:t>
            </w:r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소형·미형(微型)기업 공공서비스 플랫폼 구축을 대대적으로 추진하고 정부구매 서비스를 강화하여 소형·미형(微型)기업에게 관리지도, 기능교육, 시장개척, 표준 자문, 검사·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검측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·인증 등 서비스를 제공한다. (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공업정보화부가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책임지고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과학기술부, </w:t>
            </w:r>
            <w:proofErr w:type="spellStart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질량감독총국 등 부서와 협력하여 추진한다.)</w:t>
            </w:r>
          </w:p>
          <w:p w:rsidR="00852980" w:rsidRPr="00852980" w:rsidRDefault="00852980" w:rsidP="00852980">
            <w:pPr>
              <w:wordWrap w:val="0"/>
              <w:autoSpaceDN w:val="0"/>
              <w:spacing w:line="290" w:lineRule="atLeast"/>
              <w:ind w:firstLine="388"/>
              <w:jc w:val="both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85298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각 지역과 각 부서는 본 지역, 본 부서의 실제상황에 근거하여 기존 소형·미형(微型)기업 부양정책의 확실한 시행을 바탕으로 정책에 대한 이해와 홍보를 강화하고 업무절차를 간소화하며 서비스 효율을 향상시켜야 한다. 각 지역과 각 부서는 정책을 조속히 구체화하여 시행하고 적당한 시기에 후속적인 조치를 제시한다.  </w:t>
            </w:r>
          </w:p>
          <w:p w:rsidR="00852980" w:rsidRPr="00852980" w:rsidRDefault="00852980" w:rsidP="008529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52980" w:rsidRPr="00852980" w:rsidRDefault="00852980" w:rsidP="00852980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</w:t>
            </w:r>
          </w:p>
          <w:p w:rsidR="00852980" w:rsidRPr="00852980" w:rsidRDefault="00852980" w:rsidP="00852980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529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10월 31일</w:t>
            </w:r>
          </w:p>
          <w:p w:rsidR="008C7C4E" w:rsidRPr="00852980" w:rsidRDefault="008C7C4E" w:rsidP="008529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8C7C4E" w:rsidRDefault="008C7C4E" w:rsidP="008C7C4E">
            <w:pPr>
              <w:ind w:firstLine="420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8C7C4E">
              <w:rPr>
                <w:rFonts w:ascii="SimSun" w:eastAsia="SimSun" w:hAnsi="SimSun" w:hint="eastAsia"/>
                <w:b/>
                <w:sz w:val="26"/>
                <w:szCs w:val="26"/>
              </w:rPr>
              <w:t>国务院关于扶持小型微型企业健康发展的意见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>国发〔2014〕52号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>各省、自治区、直辖市人民政府，国务院各部委、各直属机构：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14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</w:t>
            </w:r>
            <w:r w:rsidRPr="008C7C4E">
              <w:rPr>
                <w:rFonts w:ascii="SimSun" w:eastAsia="SimSun" w:hAnsi="SimSun" w:hint="eastAsia"/>
                <w:spacing w:val="10"/>
                <w:szCs w:val="21"/>
              </w:rPr>
              <w:t xml:space="preserve">　</w:t>
            </w:r>
            <w:r w:rsidRPr="008C7C4E">
              <w:rPr>
                <w:rFonts w:ascii="SimSun" w:eastAsia="SimSun" w:hAnsi="SimSun" w:hint="eastAsia"/>
                <w:spacing w:val="14"/>
                <w:szCs w:val="21"/>
              </w:rPr>
              <w:t>工商登记制度改革极大地激发了市场活力和创业热情，小型微型企业数量快速增长，为促进经济发展和社会就业发挥了积极作用，但在发展中也面临一些困难和问题。为切实扶持小型微型企业（含个体工商户）健康发展，现提出如下意见。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一、充分发挥现有中小企业专项资金的引导作用，鼓励地方中小企业扶持资金将小型微型企业纳入支持范围。（财政部、发展改革委、工业和信息化部、科技部、商务部、工商总局等部门负责）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二、认真落实已经出台的支持小型微型企业税收优惠政策，根据形势发展的需要研究出台继续支持的政策。小型微型企业从事国家鼓励发展的投资项目，进口项目自用且国内不能生产的先进设备，按照有关规定免征关税。（财政部会同税务总局、工商总局、工业和信息化部、海关总署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三、</w:t>
            </w:r>
            <w:r w:rsidRPr="00852980">
              <w:rPr>
                <w:rFonts w:ascii="SimSun" w:eastAsia="SimSun" w:hAnsi="SimSun" w:hint="eastAsia"/>
                <w:spacing w:val="6"/>
                <w:szCs w:val="21"/>
              </w:rPr>
              <w:t>加大中小企业专项资金对小企业创业基地（微型企业孵化园、科技孵化器、商贸企业集聚区等）建设的支持力度。鼓励大中型企业带动产业链上的小型微型企业，实现产业集聚和抱团发展。（财政部、工业和信息化部、科技部、商务部、工商总局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四、对小型微型企业吸纳就业困难人员就业的，按照规定给予社会保险补贴。自工商登记注册之日起3年内，对安排残疾人就业未达到规定比例、在职职工总数20人以下（含20人）的小型微型企业，免征残疾人就业保障金。（人力资源社会保障部会同财政部、中国残联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五、</w:t>
            </w:r>
            <w:r w:rsidRPr="00852980">
              <w:rPr>
                <w:rFonts w:ascii="SimSun" w:eastAsia="SimSun" w:hAnsi="SimSun" w:hint="eastAsia"/>
                <w:spacing w:val="6"/>
                <w:szCs w:val="21"/>
              </w:rPr>
              <w:t>鼓励各级政府设立的创业投资引导基金积极支持小型微型企业。积</w:t>
            </w:r>
            <w:r w:rsidRPr="00852980">
              <w:rPr>
                <w:rFonts w:ascii="SimSun" w:eastAsia="SimSun" w:hAnsi="SimSun" w:hint="eastAsia"/>
                <w:spacing w:val="6"/>
                <w:szCs w:val="21"/>
              </w:rPr>
              <w:lastRenderedPageBreak/>
              <w:t>极引导创业投资基金、天使基金、种子基金投资小型微型企业。符合条件的小型微型企业可按规定享受小额担保贷款扶持政策。（财政部会同发展改革委、工业和信息化部、证监会、科技部、商务部、人力资源社会保障部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六、进一步完善小型微型企业融资担保政策。大力发展政府支持的担保机构，引导其提高小型微型企业担保业务规模，合理确定担保费用。进一步加大对小型微型企业融资担保的财政支持力度，综合运用业务补助、增量业务奖励、资本投入、代偿补偿、创新奖励等方式，引导担保、金融机构和外贸综合服务企业等为小型微型企业提供融资服务。（银监会会同发展改革委、工业和信息化部、财政部、科技部、商务部、人力资源社会保障部、人民银行、税务总局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七、鼓励大型银行充分利用机构和网点优势，加大小型微型企业金融服务专营机构建设力度。引导中小型银行将改进小型微型企业金融服务和战略转型相结合，科学调整信贷结构，重点支持小型微型企业和区域经济发展。引导银行业金融机构针对小型微型企业的经营特点和融资需求特征，创新产品和服务。各银行业金融机构在商业可持续和有效控制风险的前提下，单列小型微型企业信贷计划。在加强监管前提下，大力推进具备条件的民间资本依法发起设立中小型银行等金融机构。（银监会会同人民银行、发展改革委、财政部、工业和信息化部、科技部、商务部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八、高校毕业生到小型微型企业就业的，其档案可由当地市、县一级的公共就业人才服务机构免费保管。（人力资源社会保障部、工业和信息化部、工商总局等部门负责）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九、建立支持小型微型企业发展的信息互联互通机制。依托工商行政管理部门的企业信用信息公示系统，在企业自愿申报的基础上建立小型微型企业名录，集中公开各类扶持政策及企业享受</w:t>
            </w:r>
            <w:r w:rsidRPr="008C7C4E">
              <w:rPr>
                <w:rFonts w:ascii="SimSun" w:eastAsia="SimSun" w:hAnsi="SimSun" w:hint="eastAsia"/>
                <w:szCs w:val="21"/>
              </w:rPr>
              <w:lastRenderedPageBreak/>
              <w:t>扶持政策的信息。通过统一的信用信息平台，汇集工商注册登记、行政许可、税收缴纳、社保缴费等信息，推进小型微型企业信用信息共享，促进小型微型企业信用体系建设。通过信息公开和共享，利用大数据、云计算等现代信息技术，推动政府部门和银行、证券、保险等专业机构提供更有效的服务。从小型微型企业中抽取一定比例的样本企业，进行跟踪调查，加强监测分析。（工商总局、发展改革委、税务总局、工业和信息化部、人力资源社会保障部、人民银行、质检总局、统计局等部门负责）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十、大力推进小型微型企业公共服务平台建设，加大政府购买服务力度，为小型微型企业免费提供管理指导、技能培训、市场开拓、标准咨询、检验检测认证等服务。（工业和信息化部会同财政部、科技部、商务部、质检总局等部门负责）</w:t>
            </w:r>
          </w:p>
          <w:p w:rsidR="008C7C4E" w:rsidRPr="00852980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8"/>
                <w:szCs w:val="21"/>
              </w:rPr>
            </w:pPr>
            <w:r w:rsidRPr="008C7C4E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852980">
              <w:rPr>
                <w:rFonts w:ascii="SimSun" w:eastAsia="SimSun" w:hAnsi="SimSun" w:hint="eastAsia"/>
                <w:spacing w:val="8"/>
                <w:szCs w:val="21"/>
              </w:rPr>
              <w:t>各地区、各部门要结合本地区、本部门实际，在落实好已有的小型微型企业扶持政策的基础上，加大对政策的解读、宣传力度，简化办事流程，提高服务效率。各地区、各部门要确保政策尽快落实，并适时提出进一步措施。</w:t>
            </w:r>
          </w:p>
          <w:p w:rsidR="008C7C4E" w:rsidRPr="008C7C4E" w:rsidRDefault="00852980" w:rsidP="00852980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 xml:space="preserve">　　　　　　　　　　　</w:t>
            </w:r>
            <w:r w:rsidR="008C7C4E" w:rsidRPr="008C7C4E">
              <w:rPr>
                <w:rFonts w:ascii="SimSun" w:eastAsia="SimSun" w:hAnsi="SimSun" w:hint="eastAsia"/>
                <w:szCs w:val="21"/>
              </w:rPr>
              <w:t xml:space="preserve">　　　　　　　　　　　　　　　　　　</w:t>
            </w:r>
            <w:r>
              <w:rPr>
                <w:rFonts w:ascii="SimSun" w:eastAsia="SimSun" w:hAnsi="SimSun" w:hint="eastAsia"/>
                <w:szCs w:val="21"/>
              </w:rPr>
              <w:t xml:space="preserve">    </w:t>
            </w:r>
            <w:r w:rsidR="008C7C4E" w:rsidRPr="008C7C4E">
              <w:rPr>
                <w:rFonts w:ascii="SimSun" w:eastAsia="SimSun" w:hAnsi="SimSun" w:hint="eastAsia"/>
                <w:szCs w:val="21"/>
              </w:rPr>
              <w:t>国务院</w:t>
            </w:r>
            <w:r>
              <w:rPr>
                <w:rFonts w:ascii="SimSun" w:eastAsia="SimSun" w:hAnsi="SimSun" w:hint="eastAsia"/>
                <w:szCs w:val="21"/>
              </w:rPr>
              <w:t xml:space="preserve">　　　　　　　　　　</w:t>
            </w:r>
            <w:r w:rsidR="008C7C4E" w:rsidRPr="008C7C4E">
              <w:rPr>
                <w:rFonts w:ascii="SimSun" w:eastAsia="SimSun" w:hAnsi="SimSun" w:hint="eastAsia"/>
                <w:szCs w:val="21"/>
              </w:rPr>
              <w:t>2014年10月31日</w:t>
            </w:r>
          </w:p>
          <w:p w:rsidR="008C7C4E" w:rsidRPr="008C7C4E" w:rsidRDefault="008C7C4E" w:rsidP="008C7C4E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484185" w:rsidRDefault="00484185" w:rsidP="008C7C4E">
      <w:pPr>
        <w:ind w:firstLine="420"/>
      </w:pPr>
    </w:p>
    <w:sectPr w:rsidR="00484185" w:rsidSect="008C7C4E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798"/>
    <w:multiLevelType w:val="hybridMultilevel"/>
    <w:tmpl w:val="65747E5E"/>
    <w:lvl w:ilvl="0" w:tplc="7F30D8B6">
      <w:start w:val="1"/>
      <w:numFmt w:val="decimal"/>
      <w:lvlText w:val="%1."/>
      <w:lvlJc w:val="left"/>
      <w:pPr>
        <w:ind w:left="420" w:hanging="420"/>
      </w:pPr>
      <w:rPr>
        <w:rFonts w:ascii="한컴바탕" w:eastAsia="한컴바탕" w:hAnsi="한컴바탕" w:cs="한컴바탕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6378D"/>
    <w:multiLevelType w:val="hybridMultilevel"/>
    <w:tmpl w:val="3FE48664"/>
    <w:lvl w:ilvl="0" w:tplc="41B2C378">
      <w:start w:val="1"/>
      <w:numFmt w:val="decimal"/>
      <w:lvlText w:val="%1."/>
      <w:lvlJc w:val="left"/>
      <w:pPr>
        <w:ind w:left="420" w:hanging="420"/>
      </w:pPr>
      <w:rPr>
        <w:rFonts w:ascii="한컴바탕" w:eastAsia="한컴바탕" w:hAnsi="한컴바탕" w:cs="한컴바탕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E214E"/>
    <w:multiLevelType w:val="hybridMultilevel"/>
    <w:tmpl w:val="6CC88F86"/>
    <w:lvl w:ilvl="0" w:tplc="92DA27EA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5B469E"/>
    <w:multiLevelType w:val="hybridMultilevel"/>
    <w:tmpl w:val="049EA31C"/>
    <w:lvl w:ilvl="0" w:tplc="431850F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4">
    <w:nsid w:val="22792759"/>
    <w:multiLevelType w:val="hybridMultilevel"/>
    <w:tmpl w:val="410A768A"/>
    <w:lvl w:ilvl="0" w:tplc="280E0DB8">
      <w:start w:val="1"/>
      <w:numFmt w:val="decimal"/>
      <w:lvlText w:val="%1."/>
      <w:lvlJc w:val="left"/>
      <w:pPr>
        <w:ind w:left="420" w:hanging="420"/>
      </w:pPr>
      <w:rPr>
        <w:rFonts w:ascii="한컴바탕" w:eastAsia="한컴바탕" w:hAnsi="한컴바탕" w:cs="한컴바탕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195647"/>
    <w:multiLevelType w:val="hybridMultilevel"/>
    <w:tmpl w:val="BBDA3C14"/>
    <w:lvl w:ilvl="0" w:tplc="02BE9D80">
      <w:start w:val="1"/>
      <w:numFmt w:val="decimal"/>
      <w:lvlText w:val="%1."/>
      <w:lvlJc w:val="left"/>
      <w:pPr>
        <w:ind w:left="1010" w:hanging="6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80" w:hanging="400"/>
      </w:pPr>
    </w:lvl>
    <w:lvl w:ilvl="2" w:tplc="0409001B" w:tentative="1">
      <w:start w:val="1"/>
      <w:numFmt w:val="lowerRoman"/>
      <w:lvlText w:val="%3."/>
      <w:lvlJc w:val="right"/>
      <w:pPr>
        <w:ind w:left="1580" w:hanging="400"/>
      </w:pPr>
    </w:lvl>
    <w:lvl w:ilvl="3" w:tplc="0409000F" w:tentative="1">
      <w:start w:val="1"/>
      <w:numFmt w:val="decimal"/>
      <w:lvlText w:val="%4."/>
      <w:lvlJc w:val="left"/>
      <w:pPr>
        <w:ind w:left="1980" w:hanging="400"/>
      </w:pPr>
    </w:lvl>
    <w:lvl w:ilvl="4" w:tplc="04090019" w:tentative="1">
      <w:start w:val="1"/>
      <w:numFmt w:val="upperLetter"/>
      <w:lvlText w:val="%5."/>
      <w:lvlJc w:val="left"/>
      <w:pPr>
        <w:ind w:left="2380" w:hanging="400"/>
      </w:pPr>
    </w:lvl>
    <w:lvl w:ilvl="5" w:tplc="0409001B" w:tentative="1">
      <w:start w:val="1"/>
      <w:numFmt w:val="lowerRoman"/>
      <w:lvlText w:val="%6."/>
      <w:lvlJc w:val="right"/>
      <w:pPr>
        <w:ind w:left="2780" w:hanging="400"/>
      </w:pPr>
    </w:lvl>
    <w:lvl w:ilvl="6" w:tplc="0409000F" w:tentative="1">
      <w:start w:val="1"/>
      <w:numFmt w:val="decimal"/>
      <w:lvlText w:val="%7."/>
      <w:lvlJc w:val="left"/>
      <w:pPr>
        <w:ind w:left="3180" w:hanging="400"/>
      </w:pPr>
    </w:lvl>
    <w:lvl w:ilvl="7" w:tplc="04090019" w:tentative="1">
      <w:start w:val="1"/>
      <w:numFmt w:val="upperLetter"/>
      <w:lvlText w:val="%8."/>
      <w:lvlJc w:val="left"/>
      <w:pPr>
        <w:ind w:left="3580" w:hanging="400"/>
      </w:pPr>
    </w:lvl>
    <w:lvl w:ilvl="8" w:tplc="0409001B" w:tentative="1">
      <w:start w:val="1"/>
      <w:numFmt w:val="lowerRoman"/>
      <w:lvlText w:val="%9."/>
      <w:lvlJc w:val="right"/>
      <w:pPr>
        <w:ind w:left="3980" w:hanging="400"/>
      </w:pPr>
    </w:lvl>
  </w:abstractNum>
  <w:abstractNum w:abstractNumId="6">
    <w:nsid w:val="48744EBF"/>
    <w:multiLevelType w:val="multilevel"/>
    <w:tmpl w:val="410A768A"/>
    <w:lvl w:ilvl="0">
      <w:start w:val="1"/>
      <w:numFmt w:val="decimal"/>
      <w:lvlText w:val="%1."/>
      <w:lvlJc w:val="left"/>
      <w:pPr>
        <w:ind w:left="420" w:hanging="420"/>
      </w:pPr>
      <w:rPr>
        <w:rFonts w:ascii="한컴바탕" w:eastAsia="한컴바탕" w:hAnsi="한컴바탕" w:cs="한컴바탕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2527CC"/>
    <w:multiLevelType w:val="multilevel"/>
    <w:tmpl w:val="6E68F01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C7C4E"/>
    <w:rsid w:val="0013194F"/>
    <w:rsid w:val="00484185"/>
    <w:rsid w:val="00852980"/>
    <w:rsid w:val="008C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4E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C4E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</cp:revision>
  <dcterms:created xsi:type="dcterms:W3CDTF">2014-11-24T06:02:00Z</dcterms:created>
  <dcterms:modified xsi:type="dcterms:W3CDTF">2014-11-24T06:44:00Z</dcterms:modified>
</cp:coreProperties>
</file>