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E30C49" w:rsidTr="007F4A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E30C4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일부 상품 수출 환급세율 조정에</w:t>
            </w: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E30C4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관한 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재정부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·국가세무총국의 </w:t>
            </w: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E30C4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통지</w:t>
            </w: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재세[2014]150호</w:t>
            </w: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</w:t>
            </w:r>
            <w:r w:rsidRPr="00E30C49">
              <w:rPr>
                <w:rFonts w:ascii="한컴바탕" w:eastAsia="한컴바탕" w:hAnsi="한컴바탕" w:cs="한컴바탕"/>
                <w:szCs w:val="21"/>
                <w:lang w:eastAsia="ko-KR"/>
              </w:rPr>
              <w:t>·</w:t>
            </w: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자치구</w:t>
            </w:r>
            <w:r w:rsidRPr="00E30C49">
              <w:rPr>
                <w:rFonts w:ascii="한컴바탕" w:eastAsia="한컴바탕" w:hAnsi="한컴바탕" w:cs="한컴바탕"/>
                <w:szCs w:val="21"/>
                <w:lang w:eastAsia="ko-KR"/>
              </w:rPr>
              <w:t>·</w:t>
            </w: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직할시</w:t>
            </w:r>
            <w:r w:rsidRPr="00E30C49">
              <w:rPr>
                <w:rFonts w:ascii="한컴바탕" w:eastAsia="한컴바탕" w:hAnsi="한컴바탕" w:cs="한컴바탕"/>
                <w:szCs w:val="21"/>
                <w:lang w:eastAsia="ko-KR"/>
              </w:rPr>
              <w:t>·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재정청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(국), 국가세무총국, 신장(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新疆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생산건설병단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재무국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:</w:t>
            </w:r>
            <w:proofErr w:type="gramEnd"/>
          </w:p>
          <w:p w:rsid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pacing w:val="-10"/>
                <w:szCs w:val="21"/>
              </w:rPr>
            </w:pPr>
            <w:r w:rsidRPr="00E30C49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국무원의 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승인하에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일부 상품의 수출 환급세율을 조정하며, 관련 사항을 아래와 같이 통보한다.</w:t>
            </w: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</w:t>
            </w:r>
          </w:p>
          <w:p w:rsid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pacing w:val="-10"/>
                <w:szCs w:val="21"/>
              </w:rPr>
            </w:pPr>
          </w:p>
          <w:p w:rsid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1. </w:t>
            </w: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아래 상품의 수출 환급세율을 조정한다.</w:t>
            </w: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(1) </w:t>
            </w: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일부 고부가가치 상품, 옥수수 가공품, 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방직품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복장의 수출 환급세율을 상향 조정한다.</w:t>
            </w: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(2) </w:t>
            </w: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붕소강의 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환급을 취소한다.</w:t>
            </w: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(3) </w:t>
            </w: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그레이드 헤어(grade hair, 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档发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)의 수출 환급세율을 하향 조정한다.</w:t>
            </w: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 환급세율 조정 대상 상품 리스트는 첨부에 따른다.</w:t>
            </w:r>
          </w:p>
          <w:p w:rsidR="00E30C49" w:rsidRPr="00E30C49" w:rsidRDefault="00E30C49" w:rsidP="00E30C49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 이 통지 제1조 제(1)항 및 제(2)항의 규정은 2015년 1월 1일부터 시행하며 제1조 제(3)항의 규정은 2015년 4월 1일부터 시행한다. 옥수수 가공품의 수출 환급세율 상향 조정 정책은 2015년 12월 31일까지 집행한다. 구체적인 집행시간은 화물수출신고서(</w:t>
            </w:r>
            <w:proofErr w:type="spell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 전용)에 기재된 수출일자를 기준으로 한다.</w:t>
            </w:r>
          </w:p>
          <w:p w:rsidR="00E30C49" w:rsidRPr="00E30C49" w:rsidRDefault="00E30C49" w:rsidP="00E30C49">
            <w:pPr>
              <w:pStyle w:val="a5"/>
              <w:wordWrap w:val="0"/>
              <w:autoSpaceDN w:val="0"/>
              <w:snapToGrid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30C49" w:rsidRPr="00E30C49" w:rsidRDefault="00E30C49" w:rsidP="00E30C49">
            <w:pPr>
              <w:pStyle w:val="a5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E30C49" w:rsidRPr="00E30C49" w:rsidRDefault="00E30C49" w:rsidP="00E30C49">
            <w:pPr>
              <w:pStyle w:val="a5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E30C49" w:rsidRPr="00E30C49" w:rsidRDefault="00E30C49" w:rsidP="00E30C49">
            <w:pPr>
              <w:pStyle w:val="a5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12월 31일</w:t>
            </w:r>
          </w:p>
          <w:p w:rsidR="00E30C49" w:rsidRPr="00E30C49" w:rsidRDefault="00E30C49" w:rsidP="00E30C49">
            <w:pPr>
              <w:pStyle w:val="a5"/>
              <w:wordWrap w:val="0"/>
              <w:autoSpaceDN w:val="0"/>
              <w:snapToGrid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30C49" w:rsidRPr="00E30C49" w:rsidRDefault="00E30C49" w:rsidP="00E30C49">
            <w:pPr>
              <w:pStyle w:val="a5"/>
              <w:wordWrap w:val="0"/>
              <w:autoSpaceDN w:val="0"/>
              <w:snapToGrid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첨부 </w:t>
            </w:r>
            <w:proofErr w:type="gramStart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다운로드 :</w:t>
            </w:r>
            <w:proofErr w:type="gramEnd"/>
            <w:r w:rsidRPr="00E30C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수출 환급세율 조정 대상 상품 리스트</w:t>
            </w:r>
          </w:p>
          <w:p w:rsidR="00E30C49" w:rsidRPr="00E30C49" w:rsidRDefault="00E30C49" w:rsidP="00E30C49">
            <w:pPr>
              <w:pStyle w:val="a5"/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hyperlink r:id="rId5" w:history="1">
              <w:r w:rsidRPr="00E30C49">
                <w:rPr>
                  <w:rStyle w:val="a4"/>
                  <w:rFonts w:ascii="한컴바탕" w:eastAsia="한컴바탕" w:hAnsi="한컴바탕" w:cs="한컴바탕"/>
                  <w:szCs w:val="21"/>
                  <w:lang w:eastAsia="ko-KR"/>
                </w:rPr>
                <w:t>http://www.mof.gov.cn/zhengwuxinxi/zhengcefabu/201412/P020141231643410495127.xls</w:t>
              </w:r>
            </w:hyperlink>
          </w:p>
          <w:p w:rsidR="00E30C49" w:rsidRPr="00E30C49" w:rsidRDefault="00E30C49" w:rsidP="007F5D4C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30C49" w:rsidRDefault="00E30C49" w:rsidP="00E30C49">
            <w:pPr>
              <w:ind w:firstLine="420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 w:cs="SimSun"/>
                <w:b/>
                <w:sz w:val="26"/>
                <w:szCs w:val="26"/>
              </w:rPr>
            </w:pPr>
            <w:r w:rsidRPr="00E30C49">
              <w:rPr>
                <w:rFonts w:ascii="SimSun" w:eastAsia="SimSun" w:hAnsi="SimSun" w:cs="SimSun" w:hint="eastAsia"/>
                <w:b/>
                <w:sz w:val="26"/>
                <w:szCs w:val="26"/>
              </w:rPr>
              <w:t>财政部、国家税务总局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E30C49">
              <w:rPr>
                <w:rFonts w:ascii="SimSun" w:eastAsia="SimSun" w:hAnsi="SimSun" w:cs="SimSun" w:hint="eastAsia"/>
                <w:b/>
                <w:sz w:val="26"/>
                <w:szCs w:val="26"/>
              </w:rPr>
              <w:t>关于调整部分产品出口退税率的通知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cs="SimSun" w:hint="eastAsia"/>
                <w:szCs w:val="21"/>
              </w:rPr>
              <w:t>财税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〔</w:t>
            </w:r>
            <w:r w:rsidRPr="00E30C49">
              <w:rPr>
                <w:rFonts w:ascii="SimSun" w:eastAsia="SimSun" w:hAnsi="SimSun" w:hint="eastAsia"/>
                <w:szCs w:val="21"/>
              </w:rPr>
              <w:t>2014〕150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号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cs="SimSun" w:hint="eastAsia"/>
                <w:szCs w:val="21"/>
              </w:rPr>
              <w:t>各省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自治区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直辖市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计划单列市财政厅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局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）、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国家税务局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新疆生产建设兵团财务局</w:t>
            </w:r>
            <w:r w:rsidRPr="00E30C49">
              <w:rPr>
                <w:rFonts w:ascii="SimSun" w:eastAsia="SimSun" w:hAnsi="SimSun" w:hint="eastAsia"/>
                <w:szCs w:val="21"/>
              </w:rPr>
              <w:t>: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经国务院批准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调整部分产品的出口退税率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现就有关事项通知如下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：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一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调整下列产品的出口退税率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：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一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提高部分高附加值产品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玉米加工产品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纺织品服装的出口退税率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二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取消含硼钢的出口退税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三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E30C49">
              <w:rPr>
                <w:rFonts w:ascii="SimSun" w:eastAsia="SimSun" w:hAnsi="SimSun" w:cs="SimSun" w:hint="eastAsia"/>
                <w:spacing w:val="18"/>
                <w:szCs w:val="21"/>
              </w:rPr>
              <w:t>降低档发的出口退税率</w:t>
            </w:r>
            <w:r w:rsidRPr="00E30C49">
              <w:rPr>
                <w:rFonts w:ascii="SimSun" w:eastAsia="SimSun" w:hAnsi="SimSun" w:cs="Malgun Gothic" w:hint="eastAsia"/>
                <w:spacing w:val="18"/>
                <w:szCs w:val="21"/>
              </w:rPr>
              <w:t>。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调整出口退税率的产品清单见附件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450"/>
              <w:jc w:val="both"/>
              <w:rPr>
                <w:rFonts w:ascii="SimSun" w:eastAsia="SimSun" w:hAnsi="SimSun" w:cs="Malgun Gothic" w:hint="eastAsia"/>
                <w:szCs w:val="21"/>
              </w:rPr>
            </w:pPr>
            <w:r w:rsidRPr="00E30C49">
              <w:rPr>
                <w:rFonts w:ascii="SimSun" w:eastAsia="SimSun" w:hAnsi="SimSun" w:cs="SimSun" w:hint="eastAsia"/>
                <w:szCs w:val="21"/>
              </w:rPr>
              <w:t>二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本通知第一条第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一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项和第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二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项规定自</w:t>
            </w:r>
            <w:r w:rsidRPr="00E30C49">
              <w:rPr>
                <w:rFonts w:ascii="SimSun" w:eastAsia="SimSun" w:hAnsi="SimSun" w:hint="eastAsia"/>
                <w:szCs w:val="21"/>
              </w:rPr>
              <w:t>2015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年</w:t>
            </w:r>
            <w:r w:rsidRPr="00E30C49">
              <w:rPr>
                <w:rFonts w:ascii="SimSun" w:eastAsia="SimSun" w:hAnsi="SimSun" w:hint="eastAsia"/>
                <w:szCs w:val="21"/>
              </w:rPr>
              <w:t>1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月</w:t>
            </w:r>
            <w:r w:rsidRPr="00E30C49">
              <w:rPr>
                <w:rFonts w:ascii="SimSun" w:eastAsia="SimSun" w:hAnsi="SimSun" w:hint="eastAsia"/>
                <w:szCs w:val="21"/>
              </w:rPr>
              <w:t>1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日起执行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第一条第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三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项规定自</w:t>
            </w:r>
            <w:r w:rsidRPr="00E30C49">
              <w:rPr>
                <w:rFonts w:ascii="SimSun" w:eastAsia="SimSun" w:hAnsi="SimSun" w:hint="eastAsia"/>
                <w:szCs w:val="21"/>
              </w:rPr>
              <w:t>2015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年</w:t>
            </w:r>
            <w:r w:rsidRPr="00E30C49">
              <w:rPr>
                <w:rFonts w:ascii="SimSun" w:eastAsia="SimSun" w:hAnsi="SimSun" w:hint="eastAsia"/>
                <w:szCs w:val="21"/>
              </w:rPr>
              <w:t>4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月</w:t>
            </w:r>
            <w:r w:rsidRPr="00E30C49">
              <w:rPr>
                <w:rFonts w:ascii="SimSun" w:eastAsia="SimSun" w:hAnsi="SimSun" w:hint="eastAsia"/>
                <w:szCs w:val="21"/>
              </w:rPr>
              <w:t>1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日起执行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提高玉米加工产品出口退税率的政策执行至</w:t>
            </w:r>
            <w:r w:rsidRPr="00E30C49">
              <w:rPr>
                <w:rFonts w:ascii="SimSun" w:eastAsia="SimSun" w:hAnsi="SimSun" w:hint="eastAsia"/>
                <w:szCs w:val="21"/>
              </w:rPr>
              <w:t>2015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年</w:t>
            </w:r>
            <w:r w:rsidRPr="00E30C49">
              <w:rPr>
                <w:rFonts w:ascii="SimSun" w:eastAsia="SimSun" w:hAnsi="SimSun" w:hint="eastAsia"/>
                <w:szCs w:val="21"/>
              </w:rPr>
              <w:t>12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月</w:t>
            </w:r>
            <w:r w:rsidRPr="00E30C49">
              <w:rPr>
                <w:rFonts w:ascii="SimSun" w:eastAsia="SimSun" w:hAnsi="SimSun" w:hint="eastAsia"/>
                <w:szCs w:val="21"/>
              </w:rPr>
              <w:t>31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日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具体执行时间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以出口货物报关单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出口退税专用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上注明的出口日期为准</w:t>
            </w:r>
            <w:r w:rsidRPr="00E30C49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450"/>
              <w:jc w:val="both"/>
              <w:rPr>
                <w:rFonts w:ascii="SimSun" w:eastAsia="SimSun" w:hAnsi="SimSun"/>
                <w:szCs w:val="21"/>
              </w:rPr>
            </w:pP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405"/>
              <w:jc w:val="right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cs="SimSun" w:hint="eastAsia"/>
                <w:szCs w:val="21"/>
              </w:rPr>
              <w:t>财政部</w:t>
            </w:r>
            <w:r w:rsidRPr="00E30C49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405"/>
              <w:jc w:val="right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cs="SimSun" w:hint="eastAsia"/>
                <w:szCs w:val="21"/>
              </w:rPr>
              <w:t>国家税务总局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hint="eastAsia"/>
                <w:szCs w:val="21"/>
              </w:rPr>
              <w:t xml:space="preserve">　　2014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年</w:t>
            </w:r>
            <w:r w:rsidRPr="00E30C49">
              <w:rPr>
                <w:rFonts w:ascii="SimSun" w:eastAsia="SimSun" w:hAnsi="SimSun" w:hint="eastAsia"/>
                <w:szCs w:val="21"/>
              </w:rPr>
              <w:t>12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月</w:t>
            </w:r>
            <w:r w:rsidRPr="00E30C49">
              <w:rPr>
                <w:rFonts w:ascii="SimSun" w:eastAsia="SimSun" w:hAnsi="SimSun" w:hint="eastAsia"/>
                <w:szCs w:val="21"/>
              </w:rPr>
              <w:t>31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日</w:t>
            </w: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E30C49" w:rsidRPr="00E30C49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E30C49">
              <w:rPr>
                <w:rFonts w:ascii="SimSun" w:eastAsia="SimSun" w:hAnsi="SimSun" w:cs="SimSun" w:hint="eastAsia"/>
                <w:szCs w:val="21"/>
              </w:rPr>
              <w:t>附件下载</w:t>
            </w:r>
            <w:r w:rsidRPr="00E30C49">
              <w:rPr>
                <w:rFonts w:ascii="SimSun" w:eastAsia="SimSun" w:hAnsi="SimSun" w:hint="eastAsia"/>
                <w:szCs w:val="21"/>
              </w:rPr>
              <w:t xml:space="preserve">: </w:t>
            </w:r>
            <w:r w:rsidRPr="00E30C49">
              <w:rPr>
                <w:rFonts w:ascii="SimSun" w:eastAsia="SimSun" w:hAnsi="SimSun" w:cs="SimSun" w:hint="eastAsia"/>
                <w:szCs w:val="21"/>
              </w:rPr>
              <w:t>调整出口退税率的产品清单</w:t>
            </w:r>
          </w:p>
          <w:p w:rsidR="00E30C49" w:rsidRPr="007F5D4C" w:rsidRDefault="00E30C49" w:rsidP="00E30C49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12"/>
                <w:szCs w:val="21"/>
                <w:lang w:eastAsia="ko-KR"/>
              </w:rPr>
            </w:pPr>
            <w:hyperlink r:id="rId6" w:history="1">
              <w:r w:rsidRPr="007F5D4C">
                <w:rPr>
                  <w:rStyle w:val="a4"/>
                  <w:rFonts w:ascii="SimSun" w:eastAsia="SimSun" w:hAnsi="SimSun"/>
                  <w:spacing w:val="-12"/>
                  <w:szCs w:val="21"/>
                  <w:lang w:eastAsia="ko-KR"/>
                </w:rPr>
                <w:t>http://www.mof.gov.cn/zhengwuxinxi/zhengcefabu/201412/P020141231643410495127.xls</w:t>
              </w:r>
            </w:hyperlink>
          </w:p>
          <w:p w:rsidR="00E30C49" w:rsidRPr="00E30C49" w:rsidRDefault="00E30C49" w:rsidP="007F5D4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41017" w:rsidRDefault="00941017" w:rsidP="00E30C49">
      <w:pPr>
        <w:ind w:firstLine="420"/>
      </w:pPr>
    </w:p>
    <w:sectPr w:rsidR="00941017" w:rsidSect="00E30C49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4F5"/>
    <w:multiLevelType w:val="hybridMultilevel"/>
    <w:tmpl w:val="EFF04D82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E367730">
      <w:start w:val="1"/>
      <w:numFmt w:val="decimal"/>
      <w:lvlText w:val="(%2)"/>
      <w:lvlJc w:val="left"/>
      <w:pPr>
        <w:ind w:left="82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9E45CA"/>
    <w:multiLevelType w:val="hybridMultilevel"/>
    <w:tmpl w:val="C9844E3C"/>
    <w:lvl w:ilvl="0" w:tplc="C9B4A93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2">
    <w:nsid w:val="766130C8"/>
    <w:multiLevelType w:val="hybridMultilevel"/>
    <w:tmpl w:val="8BC0C5FE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8F83FE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30C49"/>
    <w:rsid w:val="007F4A98"/>
    <w:rsid w:val="007F5D4C"/>
    <w:rsid w:val="00941017"/>
    <w:rsid w:val="00E3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49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0C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0C49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f.gov.cn/zhengwuxinxi/zhengcefabu/201412/P020141231643410495127.xls" TargetMode="External"/><Relationship Id="rId5" Type="http://schemas.openxmlformats.org/officeDocument/2006/relationships/hyperlink" Target="http://www.mof.gov.cn/zhengwuxinxi/zhengcefabu/201412/P020141231643410495127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</cp:revision>
  <dcterms:created xsi:type="dcterms:W3CDTF">2015-01-06T07:32:00Z</dcterms:created>
  <dcterms:modified xsi:type="dcterms:W3CDTF">2015-01-06T07:44:00Z</dcterms:modified>
</cp:coreProperties>
</file>