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5A6825" w:rsidRPr="005A6825" w:rsidRDefault="005A6825" w:rsidP="005A6825">
            <w:pPr>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5A6825">
              <w:rPr>
                <w:rFonts w:ascii="한컴바탕" w:eastAsia="한컴바탕" w:hAnsi="한컴바탕" w:cs="한컴바탕" w:hint="eastAsia"/>
                <w:b/>
                <w:bCs/>
                <w:sz w:val="26"/>
                <w:szCs w:val="26"/>
                <w:lang w:eastAsia="ko-KR"/>
              </w:rPr>
              <w:t>최고인민법원의</w:t>
            </w:r>
          </w:p>
          <w:p w:rsidR="005A6825" w:rsidRPr="005A6825" w:rsidRDefault="005A6825" w:rsidP="005A6825">
            <w:pPr>
              <w:snapToGrid w:val="0"/>
              <w:spacing w:line="360" w:lineRule="auto"/>
              <w:jc w:val="center"/>
              <w:rPr>
                <w:rFonts w:ascii="한컴바탕" w:eastAsia="한컴바탕" w:hAnsi="한컴바탕" w:cs="한컴바탕" w:hint="eastAsia"/>
                <w:b/>
                <w:bCs/>
                <w:sz w:val="26"/>
                <w:szCs w:val="26"/>
                <w:lang w:eastAsia="ko-KR"/>
              </w:rPr>
            </w:pPr>
            <w:r w:rsidRPr="005A6825">
              <w:rPr>
                <w:rFonts w:ascii="한컴바탕" w:eastAsia="한컴바탕" w:hAnsi="한컴바탕" w:cs="한컴바탕" w:hint="eastAsia"/>
                <w:b/>
                <w:bCs/>
                <w:sz w:val="26"/>
                <w:szCs w:val="26"/>
                <w:lang w:eastAsia="ko-KR"/>
              </w:rPr>
              <w:t>지적재산권민사소송 증거에 관한 규정</w:t>
            </w:r>
          </w:p>
          <w:p w:rsidR="005A6825" w:rsidRPr="005A6825" w:rsidRDefault="005A6825" w:rsidP="005A6825">
            <w:pPr>
              <w:snapToGrid w:val="0"/>
              <w:spacing w:line="360" w:lineRule="auto"/>
              <w:jc w:val="center"/>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법석[2020]12호</w:t>
            </w:r>
          </w:p>
          <w:p w:rsidR="005A6825" w:rsidRPr="005A6825" w:rsidRDefault="005A6825" w:rsidP="005A6825">
            <w:pPr>
              <w:snapToGrid w:val="0"/>
              <w:spacing w:line="360" w:lineRule="auto"/>
              <w:rPr>
                <w:rFonts w:ascii="한컴바탕" w:eastAsia="한컴바탕" w:hAnsi="한컴바탕" w:cs="한컴바탕" w:hint="eastAsia"/>
                <w:szCs w:val="21"/>
                <w:lang w:eastAsia="ko-KR"/>
              </w:rPr>
            </w:pP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&lt;최고인민법원의 지적재산권민사소송 증거에 관한 규정&gt;이 2020년 11월 9일 최고인민법원 심판위원회 제1815차 회의에서 통과되어 공포하는 바이며 2020년 11월 18일부터 시행한다.</w:t>
            </w:r>
          </w:p>
          <w:p w:rsid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wordWrap w:val="0"/>
              <w:topLinePunct/>
              <w:snapToGrid w:val="0"/>
              <w:spacing w:line="360" w:lineRule="auto"/>
              <w:jc w:val="right"/>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최고인민법원</w:t>
            </w:r>
          </w:p>
          <w:p w:rsidR="005A6825" w:rsidRPr="005A6825" w:rsidRDefault="005A6825" w:rsidP="005A6825">
            <w:pPr>
              <w:wordWrap w:val="0"/>
              <w:topLinePunct/>
              <w:snapToGrid w:val="0"/>
              <w:spacing w:line="360" w:lineRule="auto"/>
              <w:jc w:val="right"/>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2020년 11월 16일</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wordWrap w:val="0"/>
              <w:topLinePunct/>
              <w:snapToGrid w:val="0"/>
              <w:spacing w:line="360" w:lineRule="auto"/>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당사자가 법에 의거하여 소송권리를 행사하는 것을 보장하고 편리를 제공하며 인민법원의 공정하고 적시적인 지적재산권민사사건 심리를 보증하기 위한 목적으로 &lt;중화인민공화국 민사소송법&gt; 등 관련 법률의 규정에 근거하여 지적재산권 민사심판 실무와 결부시켜 이 규정을 제정한다.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지적재산권민사소송의 당사자는 신의성실의 원칙과 법률•사법해석의 규정에 따라 적극적•전면적으로 정확하고 성실하게 증거를 제공하여야 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 xml:space="preserve">당사자는 증거를 제공하여 자신이 주장하는 바를 증명하여야 한다. 사건 심리(審理) 상황에 따라 인민법원은 민사소송법 제65조 제2항의 규정을 적용하여 당사자의 주장과 </w:t>
            </w:r>
            <w:proofErr w:type="spellStart"/>
            <w:r w:rsidRPr="005A6825">
              <w:rPr>
                <w:rFonts w:ascii="한컴바탕" w:eastAsia="한컴바탕" w:hAnsi="한컴바탕" w:cs="한컴바탕" w:hint="eastAsia"/>
                <w:szCs w:val="21"/>
                <w:lang w:eastAsia="ko-KR"/>
              </w:rPr>
              <w:t>요증사실</w:t>
            </w:r>
            <w:proofErr w:type="spellEnd"/>
            <w:r w:rsidRPr="005A6825">
              <w:rPr>
                <w:rFonts w:ascii="한컴바탕" w:eastAsia="한컴바탕" w:hAnsi="한컴바탕" w:cs="한컴바탕" w:hint="eastAsia"/>
                <w:szCs w:val="21"/>
                <w:lang w:eastAsia="ko-KR"/>
              </w:rPr>
              <w:t>, 당사자의 증거 보유 상황, 거증(擧</w:t>
            </w:r>
            <w:r w:rsidRPr="005A6825">
              <w:rPr>
                <w:rFonts w:ascii="한컴바탕" w:eastAsia="한컴바탕" w:hAnsi="한컴바탕" w:cs="한컴바탕" w:hint="eastAsia"/>
                <w:szCs w:val="21"/>
                <w:lang w:eastAsia="ko-KR"/>
              </w:rPr>
              <w:lastRenderedPageBreak/>
              <w:t>證)능력 등에 근거하여 당사자에게 관련 증거의 제공을 요구할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특허 방법으로 제조된 제품이 신제품에 속하지 아니할 경우 특허권 침해 분쟁의 원고는 다음 각 호의 사실을 거증•증명하여야 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8"/>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피고가 제조한 제품이 특허 방법으로 제조된 제품과 동일한 제품에 속한다는 사실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8"/>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피고가 제조한 제품이 특허 방법으로 제조되었을 가능성이 상대적으로 크다는 사실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8"/>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피고가 특허 방법을 사용하였음을 증명하기 위하여 원고가 합리적인 노력을 한 사실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wordWrap w:val="0"/>
              <w:topLinePunct/>
              <w:snapToGrid w:val="0"/>
              <w:spacing w:line="360" w:lineRule="auto"/>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원고가 전 항의 거증(擧證)책임을 완성한 후 인민법원은 피고에게 그가 사용한 제품 제조 방법이 특허 방법과 상이함을 거증•증명할 것을 요구할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법에 의거하여 합법적 출처의 항변을 주장하는 피고는 합법적인 구입 경로, 합리적인 가격, 직접적인 공급업체 등을 포함하여 권리침해로 피소(被訴)된 제품•복제품을 합법적으로 취득하였음을 거증•증명하여야 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wordWrap w:val="0"/>
              <w:topLinePunct/>
              <w:snapToGrid w:val="0"/>
              <w:spacing w:line="360" w:lineRule="auto"/>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피고가 제공한 권리침해로 피소(被訴)된 제품•복제품의 출처에 관한 증거가 그의 합리적 주의의무와 수준이 상당한 경우 그가 전항의 거증(擧證)책임을 완성한 것으로 인정할 수 있으며 그가 권리침해로 피소(被訴)된 제품•복제품의 지적재산권 침해 사실을 인지하지 못한 것으로 추정한다. 피고의 경영규모•전문성•거래관습 등은 그의 합리적 주의의무를 확정하는 증거가 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지적재산권 불침해 확인의 소를 제기하는 원고는 다음 각 호의 사실을 거증(擧證)•증명하여야 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피고가 원고에게 권리침해 경고장을 발송하였거나 원고에게 권리침해 신고를 한 사실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 xml:space="preserve">원고가 피고에게 소권행사 </w:t>
            </w:r>
            <w:proofErr w:type="spellStart"/>
            <w:r w:rsidRPr="005A6825">
              <w:rPr>
                <w:rFonts w:ascii="한컴바탕" w:eastAsia="한컴바탕" w:hAnsi="한컴바탕" w:cs="한컴바탕" w:hint="eastAsia"/>
                <w:szCs w:val="21"/>
                <w:lang w:eastAsia="ko-KR"/>
              </w:rPr>
              <w:t>최고장을</w:t>
            </w:r>
            <w:proofErr w:type="spellEnd"/>
            <w:r w:rsidRPr="005A6825">
              <w:rPr>
                <w:rFonts w:ascii="한컴바탕" w:eastAsia="한컴바탕" w:hAnsi="한컴바탕" w:cs="한컴바탕" w:hint="eastAsia"/>
                <w:szCs w:val="21"/>
                <w:lang w:eastAsia="ko-KR"/>
              </w:rPr>
              <w:t xml:space="preserve"> 발송한 사실과 최고시간 및 송달시간</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피고가 합리적인 기간 내에 소송을 제기하지 아니한 사실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법정(法定) 기한 내에 행정소송이 제기되지 아니한 행정행위에 의해 인정된 기본 사실, 또는 행정행위에 의해 인정된 기본 사실로 확정판결에 의해 확인된 부분에 대해 당사자는 지적재산권민사소송에서 다시 증명할 필요가 없다. 단, 해당 사실을 번복할 만한 반대의 증거가 있을 경우에는 예외로 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 xml:space="preserve">권리자가 지적재산권 침해 행위를 발견•증명하기 위한 목적으로 스스로 또는 타인에게 위탁하여 일반 구매자 명의로 피소(被訴) </w:t>
            </w:r>
            <w:proofErr w:type="spellStart"/>
            <w:r w:rsidRPr="005A6825">
              <w:rPr>
                <w:rFonts w:ascii="한컴바탕" w:eastAsia="한컴바탕" w:hAnsi="한컴바탕" w:cs="한컴바탕" w:hint="eastAsia"/>
                <w:w w:val="80"/>
                <w:szCs w:val="21"/>
                <w:lang w:eastAsia="ko-KR"/>
              </w:rPr>
              <w:t>권리침해자로부터</w:t>
            </w:r>
            <w:proofErr w:type="spellEnd"/>
            <w:r w:rsidRPr="005A6825">
              <w:rPr>
                <w:rFonts w:ascii="한컴바탕" w:eastAsia="한컴바탕" w:hAnsi="한컴바탕" w:cs="한컴바탕" w:hint="eastAsia"/>
                <w:w w:val="80"/>
                <w:szCs w:val="21"/>
                <w:lang w:eastAsia="ko-KR"/>
              </w:rPr>
              <w:t xml:space="preserve"> 물품을 구입하고 취득한 실물•영수증 등은 피소(被訴) </w:t>
            </w:r>
            <w:proofErr w:type="spellStart"/>
            <w:r w:rsidRPr="005A6825">
              <w:rPr>
                <w:rFonts w:ascii="한컴바탕" w:eastAsia="한컴바탕" w:hAnsi="한컴바탕" w:cs="한컴바탕" w:hint="eastAsia"/>
                <w:w w:val="80"/>
                <w:szCs w:val="21"/>
                <w:lang w:eastAsia="ko-KR"/>
              </w:rPr>
              <w:t>권리침해자를</w:t>
            </w:r>
            <w:proofErr w:type="spellEnd"/>
            <w:r w:rsidRPr="005A6825">
              <w:rPr>
                <w:rFonts w:ascii="한컴바탕" w:eastAsia="한컴바탕" w:hAnsi="한컴바탕" w:cs="한컴바탕" w:hint="eastAsia"/>
                <w:w w:val="80"/>
                <w:szCs w:val="21"/>
                <w:lang w:eastAsia="ko-KR"/>
              </w:rPr>
              <w:t xml:space="preserve"> 대상으로 권리침해소송을 제기하는 증거가 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wordWrap w:val="0"/>
              <w:topLinePunct/>
              <w:snapToGrid w:val="0"/>
              <w:spacing w:line="360" w:lineRule="auto"/>
              <w:ind w:firstLineChars="0" w:firstLine="0"/>
              <w:rPr>
                <w:rFonts w:ascii="한컴바탕" w:eastAsia="한컴바탕" w:hAnsi="한컴바탕" w:cs="한컴바탕" w:hint="eastAsia"/>
                <w:spacing w:val="-4"/>
                <w:w w:val="80"/>
                <w:szCs w:val="21"/>
                <w:lang w:eastAsia="ko-KR"/>
              </w:rPr>
            </w:pPr>
            <w:r w:rsidRPr="005A6825">
              <w:rPr>
                <w:rFonts w:ascii="한컴바탕" w:eastAsia="한컴바탕" w:hAnsi="한컴바탕" w:cs="한컴바탕" w:hint="eastAsia"/>
                <w:spacing w:val="-4"/>
                <w:w w:val="80"/>
                <w:szCs w:val="21"/>
                <w:lang w:eastAsia="ko-KR"/>
              </w:rPr>
              <w:t xml:space="preserve">피소(被訴) 권리침해자가 타인의 행위에 기하여 지적재산권 침해 행위를 실시하는 과정에서 형성된 증거는 권리자가 그를 대상으로 권리침해 소송을 제기하는 증거가 될 수 있다. 단, 피소(被訴) 권리침해자가 권리자의 증거 수집 행위에 기하여 지적재산권 침해 행위를 실시한 경우에는 예외로 한다. </w:t>
            </w:r>
          </w:p>
          <w:p w:rsidR="005A6825" w:rsidRPr="005A6825" w:rsidRDefault="005A6825" w:rsidP="005A6825">
            <w:pPr>
              <w:pStyle w:val="a4"/>
              <w:wordWrap w:val="0"/>
              <w:topLinePunct/>
              <w:snapToGrid w:val="0"/>
              <w:spacing w:line="360" w:lineRule="auto"/>
              <w:ind w:firstLineChars="0" w:firstLine="0"/>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lastRenderedPageBreak/>
              <w:t>중화인민공화국 영역 외에서 형성된 다음 각 호의 증거에 대하여 당사자가 해당 증거의 공증•인증 등 증명 수속이 이뤄지지 아니하였음을 유일한 이유로 이의를 제기하는 경우 인민법원은 지지하지 아니한다.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0"/>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인민법원의 확정판결에 의해 이미 확인된 증거</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0"/>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효력을 발생한 중재기구의 중재판정에 의해 이미 확인된 증거</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0"/>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공식적인 경로 또는 공개적인 경로를 통해 획득이 가능한 출판물•특허문헌 등</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0"/>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기타 증거로 그 진실성을 증명할 수 있는 증거</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중화인민공화국 영역 외에서 형성된 증거로 다음 각 호의 어느 하나에 해당하는 경우 당사자가 해당 증거의 인증 수속이 이뤄지지 아니하였음을 유일한 이유로 제기한 이의에 대해 인민법원은 지지하지 아니한다.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1"/>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이의를 제기한 당사자가 증거의 진실성을 명백히 인정한 경우</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21"/>
              </w:numPr>
              <w:wordWrap w:val="0"/>
              <w:topLinePunct/>
              <w:snapToGrid w:val="0"/>
              <w:spacing w:line="360" w:lineRule="auto"/>
              <w:ind w:firstLineChars="0"/>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상대방 당사자 측의 증인이 증거의 진실성을 인정하는 증언을 진술하였고 거짓 증언 시 처벌을 받겠다고 증인이 명백히 진술한 경우</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wordWrap w:val="0"/>
              <w:topLinePunct/>
              <w:snapToGrid w:val="0"/>
              <w:spacing w:line="360" w:lineRule="auto"/>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전 항 제(2)호에서 언급된 증인의 거짓 증언이 민사소송법 제111조에 규정된 상황에 해당되는 경우 인민법원은 법에 따라 처리한다.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1심 절차에서 민사소송법 제59조, 제264조의 규정에 따라 권한위임장 공증•인증 또는 기타 증명 수속이 이뤄진 경우 후속적인 소송 절차에서 인민법원은 해당 권한위임장에 대한 상기 증명 수속의 이행을 요구하지 아니할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당사자 또는 이해관계자의 증거보전 신청에 대하여 인민법원은 다음 각 호의 요인과 결부시켜 심사하여야 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2"/>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신청인이 그가 주장하는 바에 대해 초보적인 증거를 제공하였는지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2"/>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해당 증거가 신청인이 스스로 수집할 수 있는 증거인지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22"/>
              </w:numPr>
              <w:wordWrap w:val="0"/>
              <w:topLinePunct/>
              <w:snapToGrid w:val="0"/>
              <w:spacing w:line="360" w:lineRule="auto"/>
              <w:ind w:firstLineChars="0"/>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 xml:space="preserve">증거가 소멸되거나 향후 취득이 어려워질 가능성과 그가 </w:t>
            </w:r>
            <w:proofErr w:type="spellStart"/>
            <w:r w:rsidRPr="005A6825">
              <w:rPr>
                <w:rFonts w:ascii="한컴바탕" w:eastAsia="한컴바탕" w:hAnsi="한컴바탕" w:cs="한컴바탕" w:hint="eastAsia"/>
                <w:w w:val="90"/>
                <w:szCs w:val="21"/>
                <w:lang w:eastAsia="ko-KR"/>
              </w:rPr>
              <w:t>요증사실의</w:t>
            </w:r>
            <w:proofErr w:type="spellEnd"/>
            <w:r w:rsidRPr="005A6825">
              <w:rPr>
                <w:rFonts w:ascii="한컴바탕" w:eastAsia="한컴바탕" w:hAnsi="한컴바탕" w:cs="한컴바탕" w:hint="eastAsia"/>
                <w:w w:val="90"/>
                <w:szCs w:val="21"/>
                <w:lang w:eastAsia="ko-KR"/>
              </w:rPr>
              <w:t xml:space="preserve"> 증명에 미치는 영향</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2"/>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취해질 수 있는 보전 조치가 증거 보유자에게 미치는 영향</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인민법원은 증거보전을 진행함에 있어 증거를 효과적으로 고정시키는데 한하여야 하며 보전 목적물의 가치 파괴와 증거 보유자의 정상적 생산•경영에 대한 영향을 최소화하여야 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wordWrap w:val="0"/>
              <w:topLinePunct/>
              <w:snapToGrid w:val="0"/>
              <w:spacing w:line="360" w:lineRule="auto"/>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증거보전이 기술방안과 연관된 경우 현장검증기록 작성, 도면 작성, 사진 촬영, 녹음, 영상 촬영, 디자인•제작도 복제 등 보전 조치를 취할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당사자가 정당한 사유 없이 협조를 거부하거나 증거보전을 방해함으로써 증거보전이 불가능하게 된 경우 인민법원은 그가 불이익을 부담하는 것으로 확정할 수 있다. 민사소송법 제111조에 규정된 상황에 해당하는 경우 인민법원은 법에 따라 처리한다.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인민법원에 의해 보전 조치가 취해진 증거에 대하여 당사자가 증거 실물 분해•조립, 증거자료 변조 또는 기타 증거 파괴 행위를 행함으로써 증거로 사용하는 것이 불가능하게 된 경우 인민법원은 그가 불이익을 부담하는 것으로 확정하여야 한다. 민사소송법 제111조에 규정된 상황에 해당하는 경우 인민법원은 법에 따라 처리한다.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인민법원은 증거보전을 진행함에 있어 당사자 또는 소송대리인에게 현장 출두를 요구할 수 있다. 필요한 경우 당사자의 신청에 근거하여 전문 지식을 갖춘 자를 현장으로 소환할 수 있으며 기술조사관을 파견하여 증거보전에 참여시킬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wordWrap w:val="0"/>
              <w:topLinePunct/>
              <w:snapToGrid w:val="0"/>
              <w:spacing w:line="360" w:lineRule="auto"/>
              <w:ind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소외인(</w:t>
            </w:r>
            <w:proofErr w:type="spellStart"/>
            <w:r w:rsidRPr="005A6825">
              <w:rPr>
                <w:rFonts w:ascii="한컴바탕" w:eastAsia="한컴바탕" w:hAnsi="한컴바탕" w:cs="한컴바탕" w:hint="eastAsia"/>
                <w:w w:val="80"/>
                <w:szCs w:val="21"/>
                <w:lang w:eastAsia="ko-KR"/>
              </w:rPr>
              <w:t>案外人</w:t>
            </w:r>
            <w:proofErr w:type="spellEnd"/>
            <w:r w:rsidRPr="005A6825">
              <w:rPr>
                <w:rFonts w:ascii="한컴바탕" w:eastAsia="한컴바탕" w:hAnsi="한컴바탕" w:cs="한컴바탕" w:hint="eastAsia"/>
                <w:w w:val="80"/>
                <w:szCs w:val="21"/>
                <w:lang w:eastAsia="ko-KR"/>
              </w:rPr>
              <w:t>)이 증거를 보유 중인 경우 인민법원은 그가 보유 중인 증거에 대하여 보전 조치를 취할 수 있다.</w:t>
            </w:r>
          </w:p>
          <w:p w:rsidR="005A6825" w:rsidRPr="005A6825" w:rsidRDefault="005A6825" w:rsidP="005A6825">
            <w:pPr>
              <w:pStyle w:val="a4"/>
              <w:wordWrap w:val="0"/>
              <w:topLinePunct/>
              <w:snapToGrid w:val="0"/>
              <w:spacing w:line="360" w:lineRule="auto"/>
              <w:ind w:firstLineChars="0" w:firstLine="0"/>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 xml:space="preserve">인민법원은 증거보전을 진행함에 있어 기록 및 보전증거 리스트를 작성하고 보전시간, 장소, 실시자, 현장 출두자, 보전 경과, 보전 목적물의 상태를 기록하여야 하며 </w:t>
            </w:r>
            <w:proofErr w:type="spellStart"/>
            <w:r w:rsidRPr="005A6825">
              <w:rPr>
                <w:rFonts w:ascii="한컴바탕" w:eastAsia="한컴바탕" w:hAnsi="한컴바탕" w:cs="한컴바탕" w:hint="eastAsia"/>
                <w:w w:val="80"/>
                <w:szCs w:val="21"/>
                <w:lang w:eastAsia="ko-KR"/>
              </w:rPr>
              <w:t>실시자와</w:t>
            </w:r>
            <w:proofErr w:type="spellEnd"/>
            <w:r w:rsidRPr="005A6825">
              <w:rPr>
                <w:rFonts w:ascii="한컴바탕" w:eastAsia="한컴바탕" w:hAnsi="한컴바탕" w:cs="한컴바탕" w:hint="eastAsia"/>
                <w:w w:val="80"/>
                <w:szCs w:val="21"/>
                <w:lang w:eastAsia="ko-KR"/>
              </w:rPr>
              <w:t xml:space="preserve"> 현장 출두자가 서명 또는 날인하여야 한다. 관계자가 서명 또는 날인을 거부하는 경우 보전의 효력에 영향을 미치지 아니하며 인민법원은 기록에 해당 상황을 작성하고 사진 또는 영상을 촬영할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proofErr w:type="spellStart"/>
            <w:r w:rsidRPr="005A6825">
              <w:rPr>
                <w:rFonts w:ascii="한컴바탕" w:eastAsia="한컴바탕" w:hAnsi="한컴바탕" w:cs="한컴바탕" w:hint="eastAsia"/>
                <w:szCs w:val="21"/>
                <w:lang w:eastAsia="ko-KR"/>
              </w:rPr>
              <w:lastRenderedPageBreak/>
              <w:t>피신청인이</w:t>
            </w:r>
            <w:proofErr w:type="spellEnd"/>
            <w:r w:rsidRPr="005A6825">
              <w:rPr>
                <w:rFonts w:ascii="한컴바탕" w:eastAsia="한컴바탕" w:hAnsi="한컴바탕" w:cs="한컴바탕" w:hint="eastAsia"/>
                <w:szCs w:val="21"/>
                <w:lang w:eastAsia="ko-KR"/>
              </w:rPr>
              <w:t xml:space="preserve"> 증거보전의 범위•조치•필요성 등에 대한 이의를 제기하고 관련 증거를 제공하는 경우 인민법원은 심사를 거쳐 이의제기 이유가 성립된다고 판단될 시 증거보전을 변경•종료•해제할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신청인이 피(被)보전 증거의 사용을 포기하였으나 피(被)보전 증거가 사건의 기본 사실관계를 파악하는 것과 연관되었거나 기타 당사자가 사용을 주장하는 경우 인민법원은 해당 증거를 심사하고 인정할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 xml:space="preserve">인민법원은 다음 각 호의 </w:t>
            </w:r>
            <w:proofErr w:type="spellStart"/>
            <w:r w:rsidRPr="005A6825">
              <w:rPr>
                <w:rFonts w:ascii="한컴바탕" w:eastAsia="한컴바탕" w:hAnsi="한컴바탕" w:cs="한컴바탕" w:hint="eastAsia"/>
                <w:w w:val="90"/>
                <w:szCs w:val="21"/>
                <w:lang w:eastAsia="ko-KR"/>
              </w:rPr>
              <w:t>요증사실과</w:t>
            </w:r>
            <w:proofErr w:type="spellEnd"/>
            <w:r w:rsidRPr="005A6825">
              <w:rPr>
                <w:rFonts w:ascii="한컴바탕" w:eastAsia="한컴바탕" w:hAnsi="한컴바탕" w:cs="한컴바탕" w:hint="eastAsia"/>
                <w:w w:val="90"/>
                <w:szCs w:val="21"/>
                <w:lang w:eastAsia="ko-KR"/>
              </w:rPr>
              <w:t xml:space="preserve"> 관련된 전문적 문제에 대하여 감정을 위탁할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23"/>
              </w:numPr>
              <w:wordWrap w:val="0"/>
              <w:topLinePunct/>
              <w:snapToGrid w:val="0"/>
              <w:spacing w:line="360" w:lineRule="auto"/>
              <w:ind w:firstLineChars="0"/>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권리침해로 피소(被訴)된 기술방안과 특허 기술방안, 기존 기술의 대응되는 기술적 특징에 있어 수단•기능•효과 등 방면의 차이점•공통점</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3"/>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권리침해로 피소(被訴)된 작품과 권리를 주장하는 작품의 차이점•공통점</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23"/>
              </w:numPr>
              <w:wordWrap w:val="0"/>
              <w:topLinePunct/>
              <w:snapToGrid w:val="0"/>
              <w:spacing w:line="360" w:lineRule="auto"/>
              <w:ind w:firstLineChars="0"/>
              <w:rPr>
                <w:rFonts w:ascii="한컴바탕" w:eastAsia="한컴바탕" w:hAnsi="한컴바탕" w:cs="한컴바탕" w:hint="eastAsia"/>
                <w:spacing w:val="-4"/>
                <w:w w:val="80"/>
                <w:szCs w:val="21"/>
                <w:lang w:eastAsia="ko-KR"/>
              </w:rPr>
            </w:pPr>
            <w:r w:rsidRPr="005A6825">
              <w:rPr>
                <w:rFonts w:ascii="한컴바탕" w:eastAsia="한컴바탕" w:hAnsi="한컴바탕" w:cs="한컴바탕" w:hint="eastAsia"/>
                <w:spacing w:val="-4"/>
                <w:w w:val="80"/>
                <w:szCs w:val="21"/>
                <w:lang w:eastAsia="ko-KR"/>
              </w:rPr>
              <w:t>당사자가 주장하는 상업비밀과 소속된 분야에서 이미 대중에게 널리 알려져 있는 정보의 차이점•공통점, 권리침해로 피소(被訴)된 정보와 상업비밀의 차이점•공통점</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3"/>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권리침해로 피소(被訴)된 물건과 수권 품종의 특징•특성 방면의 차이점•공통점, 차이점이 비(非)</w:t>
            </w:r>
            <w:proofErr w:type="spellStart"/>
            <w:r w:rsidRPr="005A6825">
              <w:rPr>
                <w:rFonts w:ascii="한컴바탕" w:eastAsia="한컴바탕" w:hAnsi="한컴바탕" w:cs="한컴바탕" w:hint="eastAsia"/>
                <w:szCs w:val="21"/>
                <w:lang w:eastAsia="ko-KR"/>
              </w:rPr>
              <w:t>유전적변이로</w:t>
            </w:r>
            <w:proofErr w:type="spellEnd"/>
            <w:r w:rsidRPr="005A6825">
              <w:rPr>
                <w:rFonts w:ascii="한컴바탕" w:eastAsia="한컴바탕" w:hAnsi="한컴바탕" w:cs="한컴바탕" w:hint="eastAsia"/>
                <w:szCs w:val="21"/>
                <w:lang w:eastAsia="ko-KR"/>
              </w:rPr>
              <w:t xml:space="preserve"> 인한 것인지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23"/>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권리침해로 피소(被訴)된 집적회로 배치설계와 보호를 청구한 집적회로 배치설계의 차이점•공통점</w:t>
            </w:r>
          </w:p>
          <w:p w:rsidR="005A6825" w:rsidRDefault="005A6825" w:rsidP="005A6825">
            <w:pPr>
              <w:pStyle w:val="a4"/>
              <w:numPr>
                <w:ilvl w:val="0"/>
                <w:numId w:val="23"/>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lastRenderedPageBreak/>
              <w:t>계약과 연관된 기술에 하자가 존재하는지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3"/>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전자 데이터의 진실성•완전성</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3"/>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감정 위탁이 필요한 기타 전문적 문제</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 xml:space="preserve">인민법원의 허락 또는 쌍방 당사자의 동의를 거쳐 감정인은 감정과 연관된 일부 </w:t>
            </w:r>
            <w:proofErr w:type="spellStart"/>
            <w:r w:rsidRPr="005A6825">
              <w:rPr>
                <w:rFonts w:ascii="한컴바탕" w:eastAsia="한컴바탕" w:hAnsi="한컴바탕" w:cs="한컴바탕" w:hint="eastAsia"/>
                <w:szCs w:val="21"/>
                <w:lang w:eastAsia="ko-KR"/>
              </w:rPr>
              <w:t>검측사항에</w:t>
            </w:r>
            <w:proofErr w:type="spellEnd"/>
            <w:r w:rsidRPr="005A6825">
              <w:rPr>
                <w:rFonts w:ascii="한컴바탕" w:eastAsia="한컴바탕" w:hAnsi="한컴바탕" w:cs="한컴바탕" w:hint="eastAsia"/>
                <w:szCs w:val="21"/>
                <w:lang w:eastAsia="ko-KR"/>
              </w:rPr>
              <w:t xml:space="preserve"> 대한 </w:t>
            </w:r>
            <w:proofErr w:type="spellStart"/>
            <w:r w:rsidRPr="005A6825">
              <w:rPr>
                <w:rFonts w:ascii="한컴바탕" w:eastAsia="한컴바탕" w:hAnsi="한컴바탕" w:cs="한컴바탕" w:hint="eastAsia"/>
                <w:szCs w:val="21"/>
                <w:lang w:eastAsia="ko-KR"/>
              </w:rPr>
              <w:t>검측을</w:t>
            </w:r>
            <w:proofErr w:type="spellEnd"/>
            <w:r w:rsidRPr="005A6825">
              <w:rPr>
                <w:rFonts w:ascii="한컴바탕" w:eastAsia="한컴바탕" w:hAnsi="한컴바탕" w:cs="한컴바탕" w:hint="eastAsia"/>
                <w:szCs w:val="21"/>
                <w:lang w:eastAsia="ko-KR"/>
              </w:rPr>
              <w:t xml:space="preserve"> 기타 </w:t>
            </w:r>
            <w:proofErr w:type="spellStart"/>
            <w:r w:rsidRPr="005A6825">
              <w:rPr>
                <w:rFonts w:ascii="한컴바탕" w:eastAsia="한컴바탕" w:hAnsi="한컴바탕" w:cs="한컴바탕" w:hint="eastAsia"/>
                <w:szCs w:val="21"/>
                <w:lang w:eastAsia="ko-KR"/>
              </w:rPr>
              <w:t>검측기관에</w:t>
            </w:r>
            <w:proofErr w:type="spellEnd"/>
            <w:r w:rsidRPr="005A6825">
              <w:rPr>
                <w:rFonts w:ascii="한컴바탕" w:eastAsia="한컴바탕" w:hAnsi="한컴바탕" w:cs="한컴바탕" w:hint="eastAsia"/>
                <w:szCs w:val="21"/>
                <w:lang w:eastAsia="ko-KR"/>
              </w:rPr>
              <w:t xml:space="preserve"> 의뢰할 수 있으며 감정인은 </w:t>
            </w:r>
            <w:proofErr w:type="spellStart"/>
            <w:r w:rsidRPr="005A6825">
              <w:rPr>
                <w:rFonts w:ascii="한컴바탕" w:eastAsia="한컴바탕" w:hAnsi="한컴바탕" w:cs="한컴바탕" w:hint="eastAsia"/>
                <w:szCs w:val="21"/>
                <w:lang w:eastAsia="ko-KR"/>
              </w:rPr>
              <w:t>검측결과에</w:t>
            </w:r>
            <w:proofErr w:type="spellEnd"/>
            <w:r w:rsidRPr="005A6825">
              <w:rPr>
                <w:rFonts w:ascii="한컴바탕" w:eastAsia="한컴바탕" w:hAnsi="한컴바탕" w:cs="한컴바탕" w:hint="eastAsia"/>
                <w:szCs w:val="21"/>
                <w:lang w:eastAsia="ko-KR"/>
              </w:rPr>
              <w:t xml:space="preserve"> 근거하여 발행된 감정의견에 대한 법률책임을 부담한다. </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감정 업무 영역에서 통일적인 감정인•감정기관 등기관리 제도가 시행되지 않고 있을 경우 인민법원은 &lt;최고인민법원의 민사소송 증거에 관한 규정&gt; 제32조에 규정된 감정인 선임 절차에 따라 해당 기술 능력을 구비한 전문기관•전문가를 선정할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5A6825">
              <w:rPr>
                <w:rFonts w:ascii="한컴바탕" w:eastAsia="한컴바탕" w:hAnsi="한컴바탕" w:cs="한컴바탕" w:hint="eastAsia"/>
                <w:w w:val="80"/>
                <w:szCs w:val="21"/>
                <w:lang w:eastAsia="ko-KR"/>
              </w:rPr>
              <w:t>인민법원은 각 당사자의 의견을 청취한 후 당사자가 제공한 증거와 결부시켜 감정 범위를 확정하여야 한다. 감정 과정에서 일방 당사자가 제기한 감정 범위 변경 신청에 대하여 상대방 당사자가 이의를 제기하지 아니하는 경우 인민법원은 허락할 수 있다.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인민법원은 다음 각 호의 요인과 결부시켜 감정의견을 심사하여야 한다.</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4"/>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감정인이 해당 자격을 구비하였는지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24"/>
              </w:numPr>
              <w:wordWrap w:val="0"/>
              <w:topLinePunct/>
              <w:snapToGrid w:val="0"/>
              <w:spacing w:line="360" w:lineRule="auto"/>
              <w:ind w:firstLineChars="0"/>
              <w:rPr>
                <w:rFonts w:ascii="한컴바탕" w:eastAsia="한컴바탕" w:hAnsi="한컴바탕" w:cs="한컴바탕" w:hint="eastAsia"/>
                <w:spacing w:val="-4"/>
                <w:w w:val="90"/>
                <w:szCs w:val="21"/>
                <w:lang w:eastAsia="ko-KR"/>
              </w:rPr>
            </w:pPr>
            <w:r w:rsidRPr="005A6825">
              <w:rPr>
                <w:rFonts w:ascii="한컴바탕" w:eastAsia="한컴바탕" w:hAnsi="한컴바탕" w:cs="한컴바탕" w:hint="eastAsia"/>
                <w:spacing w:val="-4"/>
                <w:w w:val="90"/>
                <w:szCs w:val="21"/>
                <w:lang w:eastAsia="ko-KR"/>
              </w:rPr>
              <w:t>감정인이 관련 전문적 문제의 해결에 필요한 지식</w:t>
            </w:r>
            <w:r w:rsidRPr="005A6825">
              <w:rPr>
                <w:rFonts w:ascii="한컴바탕" w:eastAsia="한컴바탕" w:hAnsi="한컴바탕" w:cs="한컴바탕" w:hint="eastAsia"/>
                <w:spacing w:val="-4"/>
                <w:w w:val="90"/>
                <w:szCs w:val="21"/>
                <w:lang w:eastAsia="ko-KR"/>
              </w:rPr>
              <w:lastRenderedPageBreak/>
              <w:t>•경험 및 기술적 능력을 보유하고 있는지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4"/>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감정방법과 감정절차가 규범적인지 여부, 기술적 수단의 신뢰 가능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5A6825" w:rsidRDefault="005A6825" w:rsidP="005A6825">
            <w:pPr>
              <w:pStyle w:val="a4"/>
              <w:numPr>
                <w:ilvl w:val="0"/>
                <w:numId w:val="24"/>
              </w:numPr>
              <w:wordWrap w:val="0"/>
              <w:topLinePunct/>
              <w:snapToGrid w:val="0"/>
              <w:spacing w:line="360" w:lineRule="auto"/>
              <w:ind w:firstLineChars="0"/>
              <w:rPr>
                <w:rFonts w:ascii="한컴바탕" w:eastAsia="한컴바탕" w:hAnsi="한컴바탕" w:cs="한컴바탕" w:hint="eastAsia"/>
                <w:w w:val="90"/>
                <w:szCs w:val="21"/>
                <w:lang w:eastAsia="ko-KR"/>
              </w:rPr>
            </w:pPr>
            <w:r w:rsidRPr="005A6825">
              <w:rPr>
                <w:rFonts w:ascii="한컴바탕" w:eastAsia="한컴바탕" w:hAnsi="한컴바탕" w:cs="한컴바탕" w:hint="eastAsia"/>
                <w:w w:val="90"/>
                <w:szCs w:val="21"/>
                <w:lang w:eastAsia="ko-KR"/>
              </w:rPr>
              <w:t>감정을 위탁한 재료가 당사자의 대질(</w:t>
            </w:r>
            <w:proofErr w:type="spellStart"/>
            <w:r w:rsidRPr="005A6825">
              <w:rPr>
                <w:rFonts w:ascii="한컴바탕" w:eastAsia="한컴바탕" w:hAnsi="한컴바탕" w:cs="한컴바탕" w:hint="eastAsia"/>
                <w:w w:val="90"/>
                <w:szCs w:val="21"/>
                <w:lang w:eastAsia="ko-KR"/>
              </w:rPr>
              <w:t>質證</w:t>
            </w:r>
            <w:proofErr w:type="spellEnd"/>
            <w:r w:rsidRPr="005A6825">
              <w:rPr>
                <w:rFonts w:ascii="한컴바탕" w:eastAsia="한컴바탕" w:hAnsi="한컴바탕" w:cs="한컴바탕" w:hint="eastAsia"/>
                <w:w w:val="90"/>
                <w:szCs w:val="21"/>
                <w:lang w:eastAsia="ko-KR"/>
              </w:rPr>
              <w:t>)을 거쳤는지 여부와 감정 조건에 부합하는지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4"/>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감정의견의 근거가 충분한지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4"/>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감정인에게 법정(法定) 회피 사유가 있는지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4"/>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감정인이 감정 과정에서 사리도모를 위한 부정행위를 행하였거나 감정의 공정성에 영향을 미치는 기타 상황이 존재하는지 여부</w:t>
            </w:r>
          </w:p>
          <w:p w:rsidR="005A6825" w:rsidRPr="005A6825" w:rsidRDefault="005A6825" w:rsidP="005A6825">
            <w:pPr>
              <w:wordWrap w:val="0"/>
              <w:topLinePunct/>
              <w:snapToGrid w:val="0"/>
              <w:spacing w:line="360" w:lineRule="auto"/>
              <w:rPr>
                <w:rFonts w:ascii="한컴바탕" w:eastAsia="한컴바탕" w:hAnsi="한컴바탕" w:cs="한컴바탕" w:hint="eastAsia"/>
                <w:szCs w:val="21"/>
                <w:lang w:eastAsia="ko-KR"/>
              </w:rPr>
            </w:pPr>
          </w:p>
          <w:p w:rsidR="005A6825" w:rsidRPr="00E829C7"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pacing w:val="-6"/>
                <w:w w:val="80"/>
                <w:szCs w:val="21"/>
                <w:lang w:eastAsia="ko-KR"/>
              </w:rPr>
            </w:pPr>
            <w:r w:rsidRPr="00E829C7">
              <w:rPr>
                <w:rFonts w:ascii="한컴바탕" w:eastAsia="한컴바탕" w:hAnsi="한컴바탕" w:cs="한컴바탕" w:hint="eastAsia"/>
                <w:spacing w:val="-6"/>
                <w:w w:val="80"/>
                <w:szCs w:val="21"/>
                <w:lang w:eastAsia="ko-KR"/>
              </w:rPr>
              <w:t>거증(擧證)책임을 부담하는 당사자가 증거를 보유하고 있는 상대방 당사자에게 증거 제출을 명할 것을 인민법원에 서면으로 신청하고 그 이유가 성립되는 경우 인민법원은 응당히 재정(裁定)을 내리고 그에게 제출을 명하여야 한다.</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Pr="00E829C7"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E829C7">
              <w:rPr>
                <w:rFonts w:ascii="한컴바탕" w:eastAsia="한컴바탕" w:hAnsi="한컴바탕" w:cs="한컴바탕" w:hint="eastAsia"/>
                <w:w w:val="80"/>
                <w:szCs w:val="21"/>
                <w:lang w:eastAsia="ko-KR"/>
              </w:rPr>
              <w:t>인민법원이 법에 의거하여 당사자에게 관련 증거의 제출을 요구한 후 그가 정당한 사유 없이 제출을 거부하거나 거짓 증거를 제출하거나 증거를 인멸하거나 증거의 사용불능을 초래하는 기타 행위를 행할 경우 인민법원은 해당 증거와 연관된 증명사항에 대한 상대방 당사자의 주장이 성립되는 것으로 추정할 수 있다.</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wordWrap w:val="0"/>
              <w:topLinePunct/>
              <w:snapToGrid w:val="0"/>
              <w:spacing w:line="360" w:lineRule="auto"/>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당사자가 실시한 전 항에 열거된 행위가 민사소송법 제111조 규정된 상황에 해당하는 경우 인민법원은 법에 따라 처리한다.</w:t>
            </w:r>
          </w:p>
          <w:p w:rsidR="00E829C7" w:rsidRPr="005A6825" w:rsidRDefault="00E829C7" w:rsidP="005A6825">
            <w:pPr>
              <w:wordWrap w:val="0"/>
              <w:topLinePunct/>
              <w:snapToGrid w:val="0"/>
              <w:spacing w:line="360" w:lineRule="auto"/>
              <w:rPr>
                <w:rFonts w:ascii="한컴바탕" w:eastAsia="한컴바탕" w:hAnsi="한컴바탕" w:cs="한컴바탕" w:hint="eastAsia"/>
                <w:szCs w:val="21"/>
                <w:lang w:eastAsia="ko-KR"/>
              </w:rPr>
            </w:pPr>
          </w:p>
          <w:p w:rsidR="005A6825" w:rsidRPr="00E829C7"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E829C7">
              <w:rPr>
                <w:rFonts w:ascii="한컴바탕" w:eastAsia="한컴바탕" w:hAnsi="한컴바탕" w:cs="한컴바탕" w:hint="eastAsia"/>
                <w:w w:val="90"/>
                <w:szCs w:val="21"/>
                <w:lang w:eastAsia="ko-KR"/>
              </w:rPr>
              <w:t>증거가 상업비밀 또는 비밀유지가 필요한 기타 상업적 정보와 연관되었을 경우 인민법원은 관련 소송참가인이 해당 증거를 접촉하기 전에 그에게 비밀유지협약서 체결, 비밀유지 서약을 요구하거나 재정(裁定) 등 법률문서로 본 소송사건을 제외한 기타 여하한 목적으로 소송절차 중에 접촉하는 비밀정보를 공개•사용하거나 타인이 사용하도록 허락하는 것을 금지한다는 명령을 내릴 수 있다.</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Pr="00E829C7" w:rsidRDefault="005A6825" w:rsidP="005A6825">
            <w:pPr>
              <w:wordWrap w:val="0"/>
              <w:topLinePunct/>
              <w:snapToGrid w:val="0"/>
              <w:spacing w:line="360" w:lineRule="auto"/>
              <w:rPr>
                <w:rFonts w:ascii="한컴바탕" w:eastAsia="한컴바탕" w:hAnsi="한컴바탕" w:cs="한컴바탕" w:hint="eastAsia"/>
                <w:w w:val="80"/>
                <w:szCs w:val="21"/>
                <w:lang w:eastAsia="ko-KR"/>
              </w:rPr>
            </w:pPr>
            <w:r w:rsidRPr="00E829C7">
              <w:rPr>
                <w:rFonts w:ascii="한컴바탕" w:eastAsia="한컴바탕" w:hAnsi="한컴바탕" w:cs="한컴바탕" w:hint="eastAsia"/>
                <w:w w:val="80"/>
                <w:szCs w:val="21"/>
                <w:lang w:eastAsia="ko-KR"/>
              </w:rPr>
              <w:t>당사자가 전 항에서 언급된 증거를 접촉할 수 있는 인원의 범위를 제한할 것을 신청하고 인민법원이 심사를 통해 필요하다고 판단을 내린 경우 응당히 허락하여야 한다.</w:t>
            </w:r>
          </w:p>
          <w:p w:rsidR="00E829C7" w:rsidRPr="005A6825" w:rsidRDefault="00E829C7"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증인은 법정에 출석해 심판원과 당사자의 신문을 받아야 한다.</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Pr="00E829C7" w:rsidRDefault="005A6825" w:rsidP="005A6825">
            <w:pPr>
              <w:wordWrap w:val="0"/>
              <w:topLinePunct/>
              <w:snapToGrid w:val="0"/>
              <w:spacing w:line="360" w:lineRule="auto"/>
              <w:rPr>
                <w:rFonts w:ascii="한컴바탕" w:eastAsia="한컴바탕" w:hAnsi="한컴바탕" w:cs="한컴바탕" w:hint="eastAsia"/>
                <w:spacing w:val="-4"/>
                <w:w w:val="80"/>
                <w:szCs w:val="21"/>
                <w:lang w:eastAsia="ko-KR"/>
              </w:rPr>
            </w:pPr>
            <w:r w:rsidRPr="00E829C7">
              <w:rPr>
                <w:rFonts w:ascii="한컴바탕" w:eastAsia="한컴바탕" w:hAnsi="한컴바탕" w:cs="한컴바탕" w:hint="eastAsia"/>
                <w:spacing w:val="-4"/>
                <w:w w:val="80"/>
                <w:szCs w:val="21"/>
                <w:lang w:eastAsia="ko-KR"/>
              </w:rPr>
              <w:t>쌍방 당사자가 모두 동의하고 인민법원의 허락을 받은 경우 증인은 법정에 출석하지 아니할 수 있으며 인민법원은 해당 증인의 증언에 대한 당사자 대질(</w:t>
            </w:r>
            <w:proofErr w:type="spellStart"/>
            <w:r w:rsidRPr="00E829C7">
              <w:rPr>
                <w:rFonts w:ascii="한컴바탕" w:eastAsia="한컴바탕" w:hAnsi="한컴바탕" w:cs="한컴바탕" w:hint="eastAsia"/>
                <w:spacing w:val="-4"/>
                <w:w w:val="80"/>
                <w:szCs w:val="21"/>
                <w:lang w:eastAsia="ko-KR"/>
              </w:rPr>
              <w:t>質證</w:t>
            </w:r>
            <w:proofErr w:type="spellEnd"/>
            <w:r w:rsidRPr="00E829C7">
              <w:rPr>
                <w:rFonts w:ascii="한컴바탕" w:eastAsia="한컴바탕" w:hAnsi="한컴바탕" w:cs="한컴바탕" w:hint="eastAsia"/>
                <w:spacing w:val="-4"/>
                <w:w w:val="80"/>
                <w:szCs w:val="21"/>
                <w:lang w:eastAsia="ko-KR"/>
              </w:rPr>
              <w:t>)을 진행하여야 한다.</w:t>
            </w:r>
          </w:p>
          <w:p w:rsidR="00E829C7" w:rsidRPr="005A6825" w:rsidRDefault="00E829C7" w:rsidP="005A6825">
            <w:pPr>
              <w:wordWrap w:val="0"/>
              <w:topLinePunct/>
              <w:snapToGrid w:val="0"/>
              <w:spacing w:line="360" w:lineRule="auto"/>
              <w:rPr>
                <w:rFonts w:ascii="한컴바탕" w:eastAsia="한컴바탕" w:hAnsi="한컴바탕" w:cs="한컴바탕" w:hint="eastAsia"/>
                <w:szCs w:val="21"/>
                <w:lang w:eastAsia="ko-KR"/>
              </w:rPr>
            </w:pPr>
          </w:p>
          <w:p w:rsidR="005A6825" w:rsidRPr="00E829C7"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E829C7">
              <w:rPr>
                <w:rFonts w:ascii="한컴바탕" w:eastAsia="한컴바탕" w:hAnsi="한컴바탕" w:cs="한컴바탕" w:hint="eastAsia"/>
                <w:w w:val="90"/>
                <w:szCs w:val="21"/>
                <w:lang w:eastAsia="ko-KR"/>
              </w:rPr>
              <w:t>당사자는 전문 지식을 갖춘 자가 법정에 출석해 전문적 문제에 대한 의견을 진술할 것을 신청할 수 있다. 당사자는 재판부의 허락을 받은 후 전문 지식을 갖춘 자를 신문할 수 있다.</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인민법원이 기술조사관을 파견하여 재판 전 회의, 재판에 참여시키는 경우 기술조사관은 사건과 연관된 기술적 문제와 관련하여 당사자, 소송대리인, 전문 지식을 갖춘 자, 증인, 감정인, 검증인 등을 신문할 수 있다.</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Pr="00E829C7"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E829C7">
              <w:rPr>
                <w:rFonts w:ascii="한컴바탕" w:eastAsia="한컴바탕" w:hAnsi="한컴바탕" w:cs="한컴바탕" w:hint="eastAsia"/>
                <w:w w:val="90"/>
                <w:szCs w:val="21"/>
                <w:lang w:eastAsia="ko-KR"/>
              </w:rPr>
              <w:lastRenderedPageBreak/>
              <w:t>당사자가 공증문서에 대한 이의를 제기하고 번복하기에 충분한 증거를 제공하는 경우 인민법원은 해당 공증문서를 채택하지 아니할 수 있다.</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Pr="00E829C7" w:rsidRDefault="005A6825" w:rsidP="005A6825">
            <w:pPr>
              <w:wordWrap w:val="0"/>
              <w:topLinePunct/>
              <w:snapToGrid w:val="0"/>
              <w:spacing w:line="360" w:lineRule="auto"/>
              <w:rPr>
                <w:rFonts w:ascii="한컴바탕" w:eastAsia="한컴바탕" w:hAnsi="한컴바탕" w:cs="한컴바탕" w:hint="eastAsia"/>
                <w:w w:val="80"/>
                <w:szCs w:val="21"/>
                <w:lang w:eastAsia="ko-KR"/>
              </w:rPr>
            </w:pPr>
            <w:r w:rsidRPr="00E829C7">
              <w:rPr>
                <w:rFonts w:ascii="한컴바탕" w:eastAsia="한컴바탕" w:hAnsi="한컴바탕" w:cs="한컴바탕" w:hint="eastAsia"/>
                <w:w w:val="80"/>
                <w:szCs w:val="21"/>
                <w:lang w:eastAsia="ko-KR"/>
              </w:rPr>
              <w:t>당사자가 공증문서에 대해 이의를 제기한 이유가 성립되는 경우 인민법원은 공증기관에 설명서 발행 또는 보정을 요구할 수 있으며 기타 관련 증거와 결부시켜 해당 공증문서를 심사하고 인정할 수 있다.</w:t>
            </w:r>
          </w:p>
          <w:p w:rsidR="00E829C7" w:rsidRPr="005A6825" w:rsidRDefault="00E829C7" w:rsidP="005A6825">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당사자가 제공한 재무장부, 회계증빙, 판매계약, 출고증•</w:t>
            </w:r>
            <w:proofErr w:type="spellStart"/>
            <w:r w:rsidRPr="005A6825">
              <w:rPr>
                <w:rFonts w:ascii="한컴바탕" w:eastAsia="한컴바탕" w:hAnsi="한컴바탕" w:cs="한컴바탕" w:hint="eastAsia"/>
                <w:szCs w:val="21"/>
                <w:lang w:eastAsia="ko-KR"/>
              </w:rPr>
              <w:t>입고증</w:t>
            </w:r>
            <w:proofErr w:type="spellEnd"/>
            <w:r w:rsidRPr="005A6825">
              <w:rPr>
                <w:rFonts w:ascii="한컴바탕" w:eastAsia="한컴바탕" w:hAnsi="한컴바탕" w:cs="한컴바탕" w:hint="eastAsia"/>
                <w:szCs w:val="21"/>
                <w:lang w:eastAsia="ko-KR"/>
              </w:rPr>
              <w:t xml:space="preserve">, 상장회사 반기 재무제표, 투자설명서, 웹 사이트 또는 홍보책자 등 관련 </w:t>
            </w:r>
            <w:proofErr w:type="spellStart"/>
            <w:r w:rsidRPr="005A6825">
              <w:rPr>
                <w:rFonts w:ascii="한컴바탕" w:eastAsia="한컴바탕" w:hAnsi="한컴바탕" w:cs="한컴바탕" w:hint="eastAsia"/>
                <w:szCs w:val="21"/>
                <w:lang w:eastAsia="ko-KR"/>
              </w:rPr>
              <w:t>기재물</w:t>
            </w:r>
            <w:proofErr w:type="spellEnd"/>
            <w:r w:rsidRPr="005A6825">
              <w:rPr>
                <w:rFonts w:ascii="한컴바탕" w:eastAsia="한컴바탕" w:hAnsi="한컴바탕" w:cs="한컴바탕" w:hint="eastAsia"/>
                <w:szCs w:val="21"/>
                <w:lang w:eastAsia="ko-KR"/>
              </w:rPr>
              <w:t>, 설비 시스템에 저장된 거래 데이터, 제3자 플랫폼이 통계한 유통 데이터, 평가보고서, 지적재산권사용허가계약 및 시장감독관리부서•세무부서•금융부서의 기록 등은 당사자가 주장하는 지적재산권 침해 손해배상금 액수를 증명하는 증거로 사용이 가능하다.</w:t>
            </w:r>
          </w:p>
          <w:p w:rsidR="00E829C7" w:rsidRPr="00E829C7" w:rsidRDefault="00E829C7" w:rsidP="00E829C7">
            <w:pPr>
              <w:wordWrap w:val="0"/>
              <w:topLinePunct/>
              <w:snapToGrid w:val="0"/>
              <w:spacing w:line="360" w:lineRule="auto"/>
              <w:rPr>
                <w:rFonts w:ascii="한컴바탕" w:eastAsia="한컴바탕" w:hAnsi="한컴바탕" w:cs="한컴바탕" w:hint="eastAsia"/>
                <w:spacing w:val="-4"/>
                <w:w w:val="90"/>
                <w:szCs w:val="21"/>
                <w:lang w:eastAsia="ko-KR"/>
              </w:rPr>
            </w:pPr>
          </w:p>
          <w:p w:rsidR="005A6825" w:rsidRPr="00E829C7" w:rsidRDefault="005A6825" w:rsidP="005A6825">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pacing w:val="-4"/>
                <w:w w:val="90"/>
                <w:szCs w:val="21"/>
                <w:lang w:eastAsia="ko-KR"/>
              </w:rPr>
            </w:pPr>
            <w:r w:rsidRPr="00E829C7">
              <w:rPr>
                <w:rFonts w:ascii="한컴바탕" w:eastAsia="한컴바탕" w:hAnsi="한컴바탕" w:cs="한컴바탕" w:hint="eastAsia"/>
                <w:spacing w:val="-4"/>
                <w:w w:val="90"/>
                <w:szCs w:val="21"/>
                <w:lang w:eastAsia="ko-KR"/>
              </w:rPr>
              <w:t>당사자가 지적재산권사용료의 합리적인 배수(倍數)를 참조하여 손해배상금 액수를 확정할 것을 주장하는 경우 인민법원은 다음 각 호의 요인을 고려하여 지적재산권사용료 증거를 심사하고 인정할 수 있다.</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Pr="00E829C7" w:rsidRDefault="005A6825" w:rsidP="005A6825">
            <w:pPr>
              <w:pStyle w:val="a4"/>
              <w:numPr>
                <w:ilvl w:val="0"/>
                <w:numId w:val="25"/>
              </w:numPr>
              <w:wordWrap w:val="0"/>
              <w:topLinePunct/>
              <w:snapToGrid w:val="0"/>
              <w:spacing w:line="360" w:lineRule="auto"/>
              <w:ind w:firstLineChars="0"/>
              <w:rPr>
                <w:rFonts w:ascii="한컴바탕" w:eastAsia="한컴바탕" w:hAnsi="한컴바탕" w:cs="한컴바탕" w:hint="eastAsia"/>
                <w:spacing w:val="-6"/>
                <w:w w:val="80"/>
                <w:szCs w:val="21"/>
                <w:lang w:eastAsia="ko-KR"/>
              </w:rPr>
            </w:pPr>
            <w:r w:rsidRPr="00E829C7">
              <w:rPr>
                <w:rFonts w:ascii="한컴바탕" w:eastAsia="한컴바탕" w:hAnsi="한컴바탕" w:cs="한컴바탕" w:hint="eastAsia"/>
                <w:spacing w:val="-6"/>
                <w:w w:val="80"/>
                <w:szCs w:val="21"/>
                <w:lang w:eastAsia="ko-KR"/>
              </w:rPr>
              <w:t xml:space="preserve">지적재산권사용료가 실제로 지불되었는지 여부와 지불방식, 지적재산권사용허가계약이 실제로 이행되었거나 지적재산권사용허가계약의 </w:t>
            </w:r>
            <w:proofErr w:type="spellStart"/>
            <w:r w:rsidRPr="00E829C7">
              <w:rPr>
                <w:rFonts w:ascii="한컴바탕" w:eastAsia="한컴바탕" w:hAnsi="한컴바탕" w:cs="한컴바탕" w:hint="eastAsia"/>
                <w:spacing w:val="-6"/>
                <w:w w:val="80"/>
                <w:szCs w:val="21"/>
                <w:lang w:eastAsia="ko-KR"/>
              </w:rPr>
              <w:t>비안</w:t>
            </w:r>
            <w:proofErr w:type="spellEnd"/>
            <w:r w:rsidRPr="00E829C7">
              <w:rPr>
                <w:rFonts w:ascii="한컴바탕" w:eastAsia="한컴바탕" w:hAnsi="한컴바탕" w:cs="한컴바탕" w:hint="eastAsia"/>
                <w:spacing w:val="-6"/>
                <w:w w:val="80"/>
                <w:szCs w:val="21"/>
                <w:lang w:eastAsia="ko-KR"/>
              </w:rPr>
              <w:t>(</w:t>
            </w:r>
            <w:proofErr w:type="spellStart"/>
            <w:r w:rsidRPr="00E829C7">
              <w:rPr>
                <w:rFonts w:ascii="한컴바탕" w:eastAsia="한컴바탕" w:hAnsi="한컴바탕" w:cs="한컴바탕" w:hint="eastAsia"/>
                <w:spacing w:val="-6"/>
                <w:w w:val="80"/>
                <w:szCs w:val="21"/>
                <w:lang w:eastAsia="ko-KR"/>
              </w:rPr>
              <w:t>備案</w:t>
            </w:r>
            <w:proofErr w:type="spellEnd"/>
            <w:r w:rsidRPr="00E829C7">
              <w:rPr>
                <w:rFonts w:ascii="한컴바탕" w:eastAsia="한컴바탕" w:hAnsi="한컴바탕" w:cs="한컴바탕" w:hint="eastAsia"/>
                <w:spacing w:val="-6"/>
                <w:w w:val="80"/>
                <w:szCs w:val="21"/>
                <w:lang w:eastAsia="ko-KR"/>
              </w:rPr>
              <w:t>) 수속이 이뤄졌는지 여부</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5"/>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사용허가의 권리 내용, 방식, 범위, 기한</w:t>
            </w:r>
          </w:p>
          <w:p w:rsid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Pr="00E829C7" w:rsidRDefault="005A6825" w:rsidP="005A6825">
            <w:pPr>
              <w:pStyle w:val="a4"/>
              <w:numPr>
                <w:ilvl w:val="0"/>
                <w:numId w:val="25"/>
              </w:numPr>
              <w:wordWrap w:val="0"/>
              <w:topLinePunct/>
              <w:snapToGrid w:val="0"/>
              <w:spacing w:line="360" w:lineRule="auto"/>
              <w:ind w:firstLineChars="0"/>
              <w:rPr>
                <w:rFonts w:ascii="한컴바탕" w:eastAsia="한컴바탕" w:hAnsi="한컴바탕" w:cs="한컴바탕" w:hint="eastAsia"/>
                <w:spacing w:val="-6"/>
                <w:w w:val="90"/>
                <w:szCs w:val="21"/>
                <w:lang w:eastAsia="ko-KR"/>
              </w:rPr>
            </w:pPr>
            <w:proofErr w:type="spellStart"/>
            <w:r w:rsidRPr="00E829C7">
              <w:rPr>
                <w:rFonts w:ascii="한컴바탕" w:eastAsia="한컴바탕" w:hAnsi="한컴바탕" w:cs="한컴바탕" w:hint="eastAsia"/>
                <w:spacing w:val="-6"/>
                <w:w w:val="90"/>
                <w:szCs w:val="21"/>
                <w:lang w:eastAsia="ko-KR"/>
              </w:rPr>
              <w:t>피허가인과</w:t>
            </w:r>
            <w:proofErr w:type="spellEnd"/>
            <w:r w:rsidRPr="00E829C7">
              <w:rPr>
                <w:rFonts w:ascii="한컴바탕" w:eastAsia="한컴바탕" w:hAnsi="한컴바탕" w:cs="한컴바탕" w:hint="eastAsia"/>
                <w:spacing w:val="-6"/>
                <w:w w:val="90"/>
                <w:szCs w:val="21"/>
                <w:lang w:eastAsia="ko-KR"/>
              </w:rPr>
              <w:t xml:space="preserve"> 허가인 사이에 이해관계가 있는지 여부</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5A6825" w:rsidRDefault="005A6825" w:rsidP="005A6825">
            <w:pPr>
              <w:pStyle w:val="a4"/>
              <w:numPr>
                <w:ilvl w:val="0"/>
                <w:numId w:val="25"/>
              </w:numPr>
              <w:wordWrap w:val="0"/>
              <w:topLinePunct/>
              <w:snapToGrid w:val="0"/>
              <w:spacing w:line="360" w:lineRule="auto"/>
              <w:ind w:firstLineChars="0"/>
              <w:rPr>
                <w:rFonts w:ascii="한컴바탕" w:eastAsia="한컴바탕" w:hAnsi="한컴바탕" w:cs="한컴바탕" w:hint="eastAsia"/>
                <w:szCs w:val="21"/>
                <w:lang w:eastAsia="ko-KR"/>
              </w:rPr>
            </w:pPr>
            <w:r w:rsidRPr="005A6825">
              <w:rPr>
                <w:rFonts w:ascii="한컴바탕" w:eastAsia="한컴바탕" w:hAnsi="한컴바탕" w:cs="한컴바탕" w:hint="eastAsia"/>
                <w:szCs w:val="21"/>
                <w:lang w:eastAsia="ko-KR"/>
              </w:rPr>
              <w:t>업계 사용허가의 통상적 기준</w:t>
            </w:r>
          </w:p>
          <w:p w:rsidR="00E829C7" w:rsidRPr="00E829C7" w:rsidRDefault="00E829C7" w:rsidP="00E829C7">
            <w:pPr>
              <w:wordWrap w:val="0"/>
              <w:topLinePunct/>
              <w:snapToGrid w:val="0"/>
              <w:spacing w:line="360" w:lineRule="auto"/>
              <w:rPr>
                <w:rFonts w:ascii="한컴바탕" w:eastAsia="한컴바탕" w:hAnsi="한컴바탕" w:cs="한컴바탕" w:hint="eastAsia"/>
                <w:szCs w:val="21"/>
                <w:lang w:eastAsia="ko-KR"/>
              </w:rPr>
            </w:pPr>
          </w:p>
          <w:p w:rsidR="00DB5008" w:rsidRPr="009570BC" w:rsidRDefault="005A6825" w:rsidP="00E829C7">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E829C7">
              <w:rPr>
                <w:rFonts w:ascii="한컴바탕" w:eastAsia="한컴바탕" w:hAnsi="한컴바탕" w:cs="한컴바탕" w:hint="eastAsia"/>
                <w:szCs w:val="21"/>
                <w:lang w:eastAsia="ko-KR"/>
              </w:rPr>
              <w:t xml:space="preserve">이 규정은 2020년 11월 18일부터 시행한다. </w:t>
            </w:r>
            <w:r w:rsidRPr="00E829C7">
              <w:rPr>
                <w:rFonts w:ascii="한컴바탕" w:eastAsia="한컴바탕" w:hAnsi="한컴바탕" w:cs="한컴바탕" w:hint="eastAsia"/>
                <w:color w:val="291E1E"/>
                <w:szCs w:val="21"/>
                <w:lang w:eastAsia="ko-KR"/>
              </w:rPr>
              <w:t>이 규정이 시행되기 전에 최고인민법원이 발표한 사법해석이 이 규정과 일치하지 아니한 경우 이 규정을 기준으로 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5A6825" w:rsidRPr="005A6825" w:rsidRDefault="005A6825" w:rsidP="005A6825">
            <w:pPr>
              <w:snapToGrid w:val="0"/>
              <w:spacing w:line="360" w:lineRule="auto"/>
              <w:jc w:val="center"/>
              <w:rPr>
                <w:rFonts w:ascii="SimSun" w:eastAsia="SimSun" w:hAnsi="SimSun"/>
                <w:b/>
                <w:bCs/>
                <w:sz w:val="26"/>
                <w:szCs w:val="26"/>
              </w:rPr>
            </w:pPr>
            <w:r w:rsidRPr="005A6825">
              <w:rPr>
                <w:rFonts w:ascii="SimSun" w:eastAsia="SimSun" w:hAnsi="SimSun" w:hint="eastAsia"/>
                <w:b/>
                <w:bCs/>
                <w:sz w:val="26"/>
                <w:szCs w:val="26"/>
              </w:rPr>
              <w:t>最高人民法院</w:t>
            </w:r>
          </w:p>
          <w:p w:rsidR="005A6825" w:rsidRPr="005A6825" w:rsidRDefault="005A6825" w:rsidP="005A6825">
            <w:pPr>
              <w:snapToGrid w:val="0"/>
              <w:spacing w:line="360" w:lineRule="auto"/>
              <w:jc w:val="center"/>
              <w:rPr>
                <w:rFonts w:ascii="SimSun" w:eastAsia="SimSun" w:hAnsi="SimSun"/>
                <w:b/>
                <w:bCs/>
                <w:spacing w:val="-10"/>
                <w:w w:val="90"/>
                <w:sz w:val="26"/>
                <w:szCs w:val="26"/>
              </w:rPr>
            </w:pPr>
            <w:r w:rsidRPr="005A6825">
              <w:rPr>
                <w:rFonts w:ascii="SimSun" w:eastAsia="SimSun" w:hAnsi="SimSun" w:hint="eastAsia"/>
                <w:b/>
                <w:bCs/>
                <w:spacing w:val="-10"/>
                <w:w w:val="90"/>
                <w:sz w:val="26"/>
                <w:szCs w:val="26"/>
              </w:rPr>
              <w:t>关于知识产权民事诉讼证据的若干规定</w:t>
            </w:r>
          </w:p>
          <w:p w:rsidR="005A6825" w:rsidRPr="005A6825" w:rsidRDefault="005A6825" w:rsidP="005A6825">
            <w:pPr>
              <w:snapToGrid w:val="0"/>
              <w:spacing w:line="360" w:lineRule="auto"/>
              <w:jc w:val="center"/>
              <w:rPr>
                <w:rFonts w:ascii="SimSun" w:eastAsia="SimSun" w:hAnsi="SimSun"/>
                <w:szCs w:val="21"/>
              </w:rPr>
            </w:pPr>
            <w:r w:rsidRPr="005A6825">
              <w:rPr>
                <w:rFonts w:ascii="SimSun" w:eastAsia="SimSun" w:hAnsi="SimSun" w:hint="eastAsia"/>
                <w:szCs w:val="21"/>
              </w:rPr>
              <w:t>法释〔</w:t>
            </w:r>
            <w:r w:rsidRPr="005A6825">
              <w:rPr>
                <w:rFonts w:ascii="SimSun" w:eastAsia="SimSun" w:hAnsi="SimSun"/>
                <w:szCs w:val="21"/>
              </w:rPr>
              <w:t>2020〕12号</w:t>
            </w:r>
          </w:p>
          <w:p w:rsidR="005A6825" w:rsidRPr="005A6825" w:rsidRDefault="005A6825" w:rsidP="005A6825">
            <w:pPr>
              <w:snapToGrid w:val="0"/>
              <w:spacing w:line="360" w:lineRule="auto"/>
              <w:rPr>
                <w:rFonts w:ascii="SimSun" w:eastAsia="SimSun" w:hAnsi="SimSun"/>
                <w:szCs w:val="21"/>
              </w:rPr>
            </w:pPr>
          </w:p>
          <w:p w:rsidR="005A6825" w:rsidRPr="005A6825" w:rsidRDefault="005A6825" w:rsidP="005A6825">
            <w:pPr>
              <w:snapToGrid w:val="0"/>
              <w:spacing w:line="360" w:lineRule="auto"/>
              <w:rPr>
                <w:rFonts w:ascii="SimSun" w:eastAsia="SimSun" w:hAnsi="SimSun"/>
                <w:szCs w:val="21"/>
              </w:rPr>
            </w:pPr>
          </w:p>
          <w:p w:rsidR="005A6825" w:rsidRPr="005A6825" w:rsidRDefault="005A6825" w:rsidP="005A6825">
            <w:pPr>
              <w:snapToGrid w:val="0"/>
              <w:spacing w:line="360" w:lineRule="auto"/>
              <w:rPr>
                <w:rFonts w:ascii="SimSun" w:eastAsia="SimSun" w:hAnsi="SimSun"/>
                <w:szCs w:val="21"/>
              </w:rPr>
            </w:pPr>
            <w:r w:rsidRPr="005A6825">
              <w:rPr>
                <w:rFonts w:ascii="SimSun" w:eastAsia="SimSun" w:hAnsi="SimSun" w:hint="eastAsia"/>
                <w:szCs w:val="21"/>
              </w:rPr>
              <w:t>《最高人民法院关于知识产权民事诉讼证据的若干规定》已于</w:t>
            </w:r>
            <w:r w:rsidRPr="005A6825">
              <w:rPr>
                <w:rFonts w:ascii="SimSun" w:eastAsia="SimSun" w:hAnsi="SimSun"/>
                <w:szCs w:val="21"/>
              </w:rPr>
              <w:t>2020年11月9日由最高人民法院审判委员会第1815次会议通过，现予公布，自2020年11月18日起施行。</w:t>
            </w:r>
          </w:p>
          <w:p w:rsidR="005A6825" w:rsidRDefault="005A6825" w:rsidP="005A6825">
            <w:pPr>
              <w:snapToGrid w:val="0"/>
              <w:spacing w:line="360" w:lineRule="auto"/>
              <w:rPr>
                <w:rFonts w:ascii="SimSun" w:hAnsi="SimSun" w:hint="eastAsia"/>
                <w:szCs w:val="21"/>
                <w:lang w:eastAsia="ko-KR"/>
              </w:rPr>
            </w:pPr>
          </w:p>
          <w:p w:rsidR="005A6825" w:rsidRPr="005A6825" w:rsidRDefault="005A6825" w:rsidP="005A6825">
            <w:pPr>
              <w:snapToGrid w:val="0"/>
              <w:spacing w:line="360" w:lineRule="auto"/>
              <w:rPr>
                <w:rFonts w:ascii="SimSun" w:hAnsi="SimSun" w:hint="eastAsia"/>
                <w:szCs w:val="21"/>
                <w:lang w:eastAsia="ko-KR"/>
              </w:rPr>
            </w:pPr>
          </w:p>
          <w:p w:rsidR="005A6825" w:rsidRPr="005A6825" w:rsidRDefault="005A6825" w:rsidP="005A6825">
            <w:pPr>
              <w:snapToGrid w:val="0"/>
              <w:spacing w:line="360" w:lineRule="auto"/>
              <w:jc w:val="right"/>
              <w:rPr>
                <w:rFonts w:ascii="SimSun" w:eastAsia="SimSun" w:hAnsi="SimSun"/>
                <w:szCs w:val="21"/>
              </w:rPr>
            </w:pPr>
            <w:r w:rsidRPr="005A6825">
              <w:rPr>
                <w:rFonts w:ascii="SimSun" w:eastAsia="SimSun" w:hAnsi="SimSun" w:hint="eastAsia"/>
                <w:szCs w:val="21"/>
              </w:rPr>
              <w:t xml:space="preserve">　　最高人民法院</w:t>
            </w:r>
          </w:p>
          <w:p w:rsidR="005A6825" w:rsidRPr="005A6825" w:rsidRDefault="005A6825" w:rsidP="005A6825">
            <w:pPr>
              <w:snapToGrid w:val="0"/>
              <w:spacing w:line="360" w:lineRule="auto"/>
              <w:jc w:val="right"/>
              <w:rPr>
                <w:rFonts w:ascii="SimSun" w:eastAsia="SimSun" w:hAnsi="SimSun"/>
                <w:szCs w:val="21"/>
              </w:rPr>
            </w:pPr>
            <w:r w:rsidRPr="005A6825">
              <w:rPr>
                <w:rFonts w:ascii="SimSun" w:eastAsia="SimSun" w:hAnsi="SimSun" w:hint="eastAsia"/>
                <w:szCs w:val="21"/>
              </w:rPr>
              <w:t xml:space="preserve">　　</w:t>
            </w:r>
            <w:r w:rsidRPr="005A6825">
              <w:rPr>
                <w:rFonts w:ascii="SimSun" w:eastAsia="SimSun" w:hAnsi="SimSun"/>
                <w:szCs w:val="21"/>
              </w:rPr>
              <w:t>2020年11月16日</w:t>
            </w:r>
          </w:p>
          <w:p w:rsidR="005A6825" w:rsidRPr="005A6825" w:rsidRDefault="005A6825" w:rsidP="005A6825">
            <w:pPr>
              <w:snapToGrid w:val="0"/>
              <w:spacing w:line="360" w:lineRule="auto"/>
              <w:rPr>
                <w:rFonts w:ascii="SimSun" w:eastAsia="SimSun" w:hAnsi="SimSun"/>
                <w:szCs w:val="21"/>
              </w:rPr>
            </w:pPr>
          </w:p>
          <w:p w:rsidR="005A6825" w:rsidRPr="005A6825" w:rsidRDefault="005A6825" w:rsidP="005A6825">
            <w:pPr>
              <w:snapToGrid w:val="0"/>
              <w:spacing w:line="360" w:lineRule="auto"/>
              <w:rPr>
                <w:rFonts w:ascii="SimSun" w:eastAsia="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为保障和便利当事人依法行使诉讼权利，保证人民法院公正、及时审理知识产权民事案件，根据《中华人民共和国民事诉讼法》等有关法律规定，结合知识产权民事审判实际，制定本规定。</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rPr>
                <w:rFonts w:ascii="SimSun" w:hAnsi="SimSun" w:hint="eastAsia"/>
                <w:szCs w:val="21"/>
                <w:lang w:eastAsia="ko-KR"/>
              </w:rPr>
            </w:pPr>
            <w:r w:rsidRPr="005A6825">
              <w:rPr>
                <w:rFonts w:ascii="SimSun" w:eastAsia="SimSun" w:hAnsi="SimSun" w:hint="eastAsia"/>
                <w:szCs w:val="21"/>
              </w:rPr>
              <w:t xml:space="preserve">　　</w:t>
            </w:r>
            <w:r w:rsidRPr="005A6825">
              <w:rPr>
                <w:rFonts w:ascii="SimSun" w:eastAsia="SimSun" w:hAnsi="SimSun" w:hint="eastAsia"/>
                <w:b/>
                <w:bCs/>
                <w:szCs w:val="21"/>
              </w:rPr>
              <w:t>第一条</w:t>
            </w:r>
            <w:r w:rsidRPr="005A6825">
              <w:rPr>
                <w:rFonts w:ascii="SimSun" w:eastAsia="SimSun" w:hAnsi="SimSun" w:hint="eastAsia"/>
                <w:szCs w:val="21"/>
              </w:rPr>
              <w:t xml:space="preserve"> 知识产权民事诉讼当事人应当遵循诚信原则，依照法律及司法解释的规定，积极、全面、正确、诚实地提供证据。</w:t>
            </w:r>
          </w:p>
          <w:p w:rsidR="005A6825" w:rsidRPr="005A6825" w:rsidRDefault="005A6825" w:rsidP="005A6825">
            <w:pPr>
              <w:snapToGrid w:val="0"/>
              <w:spacing w:line="360" w:lineRule="auto"/>
              <w:rPr>
                <w:rFonts w:ascii="SimSun" w:hAnsi="SimSun"/>
                <w:szCs w:val="21"/>
                <w:lang w:eastAsia="ko-KR"/>
              </w:rPr>
            </w:pPr>
          </w:p>
          <w:p w:rsidR="005A6825" w:rsidRDefault="005A6825" w:rsidP="005A6825">
            <w:pPr>
              <w:snapToGrid w:val="0"/>
              <w:spacing w:line="360" w:lineRule="auto"/>
              <w:ind w:firstLine="420"/>
              <w:rPr>
                <w:rFonts w:ascii="SimSun" w:hAnsi="SimSun" w:hint="eastAsia"/>
                <w:szCs w:val="21"/>
                <w:lang w:eastAsia="ko-KR"/>
              </w:rPr>
            </w:pPr>
            <w:r w:rsidRPr="005A6825">
              <w:rPr>
                <w:rFonts w:ascii="SimSun" w:eastAsia="SimSun" w:hAnsi="SimSun" w:hint="eastAsia"/>
                <w:b/>
                <w:bCs/>
                <w:szCs w:val="21"/>
              </w:rPr>
              <w:t>第二条</w:t>
            </w:r>
            <w:r w:rsidRPr="005A6825">
              <w:rPr>
                <w:rFonts w:ascii="SimSun" w:eastAsia="SimSun" w:hAnsi="SimSun" w:hint="eastAsia"/>
                <w:szCs w:val="21"/>
              </w:rPr>
              <w:t xml:space="preserve"> 当事人对自己提出的主张，应当提供证据加以证明。根据案件审理情况，人民法院可以适用民事诉讼法第六十五条第二款的规定，根据当事人的主张及待证事实、当事人的证据持有情</w:t>
            </w:r>
            <w:r w:rsidRPr="005A6825">
              <w:rPr>
                <w:rFonts w:ascii="SimSun" w:eastAsia="SimSun" w:hAnsi="SimSun" w:hint="eastAsia"/>
                <w:szCs w:val="21"/>
              </w:rPr>
              <w:lastRenderedPageBreak/>
              <w:t>况、举证能力等，要求当事人提供有关证据。</w:t>
            </w:r>
          </w:p>
          <w:p w:rsidR="005A6825" w:rsidRPr="005A6825" w:rsidRDefault="005A6825" w:rsidP="005A6825">
            <w:pPr>
              <w:snapToGrid w:val="0"/>
              <w:spacing w:line="360" w:lineRule="auto"/>
              <w:ind w:firstLine="420"/>
              <w:rPr>
                <w:rFonts w:ascii="SimSun" w:hAnsi="SimSun"/>
                <w:szCs w:val="21"/>
                <w:lang w:eastAsia="ko-KR"/>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第三条</w:t>
            </w:r>
            <w:r w:rsidRPr="005A6825">
              <w:rPr>
                <w:rFonts w:ascii="SimSun" w:eastAsia="SimSun" w:hAnsi="SimSun" w:hint="eastAsia"/>
                <w:szCs w:val="21"/>
              </w:rPr>
              <w:t xml:space="preserve"> 专利方法制造的产品不属于新产品的，侵害专利权纠纷的原告应当举证证明下列事实：</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rPr>
                <w:rFonts w:ascii="SimSun" w:hAnsi="SimSun" w:hint="eastAsia"/>
                <w:szCs w:val="21"/>
                <w:lang w:eastAsia="ko-KR"/>
              </w:rPr>
            </w:pPr>
            <w:r w:rsidRPr="005A6825">
              <w:rPr>
                <w:rFonts w:ascii="SimSun" w:eastAsia="SimSun" w:hAnsi="SimSun" w:hint="eastAsia"/>
                <w:szCs w:val="21"/>
              </w:rPr>
              <w:t xml:space="preserve">　　（一）被告制造的产品与使用专利方法制造的产品属于相同产品；</w:t>
            </w:r>
          </w:p>
          <w:p w:rsidR="005A6825" w:rsidRPr="005A6825" w:rsidRDefault="005A6825" w:rsidP="005A6825">
            <w:pPr>
              <w:snapToGrid w:val="0"/>
              <w:spacing w:line="360" w:lineRule="auto"/>
              <w:rPr>
                <w:rFonts w:ascii="SimSun" w:hAnsi="SimSun"/>
                <w:szCs w:val="21"/>
                <w:lang w:eastAsia="ko-KR"/>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（二）被告制造的产品经由专利方法制造的可能性较大；</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（三）原告为证明被告使用了专利方法尽到合理努力。</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原告完成前款举证后，人民法院可以要求被告举证证明其产品制造方法不同于专利方法。</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第四条</w:t>
            </w:r>
            <w:r w:rsidRPr="005A6825">
              <w:rPr>
                <w:rFonts w:ascii="SimSun" w:eastAsia="SimSun" w:hAnsi="SimSun" w:hint="eastAsia"/>
                <w:szCs w:val="21"/>
              </w:rPr>
              <w:t xml:space="preserve"> 被告依法主张合法来源抗辩的，应当举证证明合法取得被诉侵权产品、复制品的事实，包括合法的购货渠道、合理的价格和直接的供货方等。</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ind w:firstLine="444"/>
              <w:rPr>
                <w:rFonts w:ascii="SimSun" w:hAnsi="SimSun" w:hint="eastAsia"/>
                <w:szCs w:val="21"/>
                <w:lang w:eastAsia="ko-KR"/>
              </w:rPr>
            </w:pPr>
            <w:r w:rsidRPr="005A6825">
              <w:rPr>
                <w:rFonts w:ascii="SimSun" w:eastAsia="SimSun" w:hAnsi="SimSun" w:hint="eastAsia"/>
                <w:szCs w:val="21"/>
              </w:rPr>
              <w:t>被告提供的被诉侵权产品、复制品来源证据与其合理注意义务程度相当的，可以认定其完成前款所称举证，并推定其不知道被诉侵权产品、复制品侵害知识产权。被告的经营规模、专业程度、市场交易习惯等，可以作为确定其合理注意义务的证据。</w:t>
            </w:r>
          </w:p>
          <w:p w:rsidR="005A6825" w:rsidRPr="005A6825" w:rsidRDefault="005A6825" w:rsidP="005A6825">
            <w:pPr>
              <w:snapToGrid w:val="0"/>
              <w:spacing w:line="360" w:lineRule="auto"/>
              <w:ind w:firstLine="444"/>
              <w:rPr>
                <w:rFonts w:ascii="SimSun" w:hAnsi="SimSun"/>
                <w:szCs w:val="21"/>
                <w:lang w:eastAsia="ko-KR"/>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第五条</w:t>
            </w:r>
            <w:r w:rsidRPr="005A6825">
              <w:rPr>
                <w:rFonts w:ascii="SimSun" w:eastAsia="SimSun" w:hAnsi="SimSun" w:hint="eastAsia"/>
                <w:szCs w:val="21"/>
              </w:rPr>
              <w:t xml:space="preserve"> 提起确认不侵害知识产权之诉的原告应当举证证明下列事实：</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rPr>
                <w:rFonts w:ascii="SimSun" w:hAnsi="SimSun" w:hint="eastAsia"/>
                <w:szCs w:val="21"/>
                <w:lang w:eastAsia="ko-KR"/>
              </w:rPr>
            </w:pPr>
            <w:r w:rsidRPr="005A6825">
              <w:rPr>
                <w:rFonts w:ascii="SimSun" w:eastAsia="SimSun" w:hAnsi="SimSun" w:hint="eastAsia"/>
                <w:szCs w:val="21"/>
              </w:rPr>
              <w:t xml:space="preserve">　　（一）被告向原告发出侵权警告或者对原告进行侵权投诉；</w:t>
            </w:r>
          </w:p>
          <w:p w:rsidR="005A6825" w:rsidRPr="005A6825" w:rsidRDefault="005A6825" w:rsidP="005A6825">
            <w:pPr>
              <w:snapToGrid w:val="0"/>
              <w:spacing w:line="360" w:lineRule="auto"/>
              <w:rPr>
                <w:rFonts w:ascii="SimSun" w:hAnsi="SimSun"/>
                <w:szCs w:val="21"/>
                <w:lang w:eastAsia="ko-KR"/>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（二）原告向被告发出诉权行使催告及催告时间、送达时间；</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（三）</w:t>
            </w:r>
            <w:r w:rsidRPr="005A6825">
              <w:rPr>
                <w:rFonts w:ascii="SimSun" w:eastAsia="SimSun" w:hAnsi="SimSun" w:hint="eastAsia"/>
                <w:spacing w:val="8"/>
                <w:szCs w:val="21"/>
              </w:rPr>
              <w:t>被告未在合理期限内提起诉讼。</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第六条</w:t>
            </w:r>
            <w:r w:rsidRPr="005A6825">
              <w:rPr>
                <w:rFonts w:ascii="SimSun" w:eastAsia="SimSun" w:hAnsi="SimSun" w:hint="eastAsia"/>
                <w:szCs w:val="21"/>
              </w:rPr>
              <w:t xml:space="preserve"> 对于未在法定期限内提起行政诉讼的行政行为所认定的基本事实，或者行政行为认定的基本事实已为生效裁判所确认的部分，当事人在知识产权民事诉讼中无须再证明，但有相反证据足以推翻的除外。</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ind w:firstLine="432"/>
              <w:rPr>
                <w:rFonts w:ascii="SimSun" w:hAnsi="SimSun" w:hint="eastAsia"/>
                <w:szCs w:val="21"/>
              </w:rPr>
            </w:pPr>
            <w:r w:rsidRPr="005A6825">
              <w:rPr>
                <w:rFonts w:ascii="SimSun" w:eastAsia="SimSun" w:hAnsi="SimSun" w:hint="eastAsia"/>
                <w:b/>
                <w:bCs/>
                <w:szCs w:val="21"/>
              </w:rPr>
              <w:t>第七条</w:t>
            </w:r>
            <w:r w:rsidRPr="005A6825">
              <w:rPr>
                <w:rFonts w:ascii="SimSun" w:eastAsia="SimSun" w:hAnsi="SimSun" w:hint="eastAsia"/>
                <w:szCs w:val="21"/>
              </w:rPr>
              <w:t xml:space="preserve"> 权利人为发现或者证明知识产权侵权行为，自行或者委托他人以普通购买者的名义向被诉侵权人购买侵权物品所取得的实物、票据等可以作为起诉被诉侵权人侵权的证据。</w:t>
            </w:r>
          </w:p>
          <w:p w:rsidR="005A6825" w:rsidRPr="005A6825" w:rsidRDefault="005A6825" w:rsidP="005A6825">
            <w:pPr>
              <w:snapToGrid w:val="0"/>
              <w:spacing w:line="360" w:lineRule="auto"/>
              <w:ind w:firstLine="432"/>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被诉侵权人基于他人行为而实施侵害知识产权行为所形成的证据，可以作为权利人起诉其侵权的证据，但被诉侵权人仅基于权利人的取证行为而实施侵害知识产权行为的除外。</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lastRenderedPageBreak/>
              <w:t>第八条</w:t>
            </w:r>
            <w:r w:rsidRPr="005A6825">
              <w:rPr>
                <w:rFonts w:ascii="SimSun" w:eastAsia="SimSun" w:hAnsi="SimSun" w:hint="eastAsia"/>
                <w:szCs w:val="21"/>
              </w:rPr>
              <w:t xml:space="preserve"> 中华人民共和国领域外形成的下列证据，当事人仅以该证据未办理公证、认证等证明手续为由提出异议的，人民法院不予支持：</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rPr>
                <w:rFonts w:ascii="SimSun" w:hAnsi="SimSun" w:hint="eastAsia"/>
                <w:szCs w:val="21"/>
                <w:lang w:eastAsia="ko-KR"/>
              </w:rPr>
            </w:pPr>
            <w:r w:rsidRPr="005A6825">
              <w:rPr>
                <w:rFonts w:ascii="SimSun" w:eastAsia="SimSun" w:hAnsi="SimSun" w:hint="eastAsia"/>
                <w:szCs w:val="21"/>
              </w:rPr>
              <w:t xml:space="preserve">　　（一）已为发生法律效力的人民法院裁判所确认的；</w:t>
            </w:r>
          </w:p>
          <w:p w:rsidR="005A6825" w:rsidRPr="005A6825" w:rsidRDefault="005A6825" w:rsidP="005A6825">
            <w:pPr>
              <w:snapToGrid w:val="0"/>
              <w:spacing w:line="360" w:lineRule="auto"/>
              <w:rPr>
                <w:rFonts w:ascii="SimSun" w:hAnsi="SimSun"/>
                <w:szCs w:val="21"/>
                <w:lang w:eastAsia="ko-KR"/>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（二）已为仲裁机构生效裁决所确认的；</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（三）能够从官方或者公开渠道获得的公开出版物、专利文献等；</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（四）</w:t>
            </w:r>
            <w:r w:rsidRPr="005A6825">
              <w:rPr>
                <w:rFonts w:ascii="SimSun" w:eastAsia="SimSun" w:hAnsi="SimSun" w:hint="eastAsia"/>
                <w:spacing w:val="8"/>
                <w:szCs w:val="21"/>
              </w:rPr>
              <w:t>有其他证据能够证明真实性的。</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32"/>
              <w:rPr>
                <w:rFonts w:ascii="SimSun" w:hAnsi="SimSun" w:hint="eastAsia"/>
                <w:szCs w:val="21"/>
              </w:rPr>
            </w:pPr>
            <w:r w:rsidRPr="005A6825">
              <w:rPr>
                <w:rFonts w:ascii="SimSun" w:eastAsia="SimSun" w:hAnsi="SimSun" w:hint="eastAsia"/>
                <w:b/>
                <w:bCs/>
                <w:szCs w:val="21"/>
              </w:rPr>
              <w:t>第九条</w:t>
            </w:r>
            <w:r w:rsidRPr="005A6825">
              <w:rPr>
                <w:rFonts w:ascii="SimSun" w:eastAsia="SimSun" w:hAnsi="SimSun" w:hint="eastAsia"/>
                <w:szCs w:val="21"/>
              </w:rPr>
              <w:t xml:space="preserve"> 中华人民共和国领域外形成的证据，存在下列情形之一的，当事人仅以该证据未办理认证手续为由提出异议的，人民法院不予支持：</w:t>
            </w:r>
          </w:p>
          <w:p w:rsidR="005A6825" w:rsidRPr="005A6825" w:rsidRDefault="005A6825" w:rsidP="005A6825">
            <w:pPr>
              <w:snapToGrid w:val="0"/>
              <w:spacing w:line="360" w:lineRule="auto"/>
              <w:ind w:firstLine="432"/>
              <w:rPr>
                <w:rFonts w:ascii="SimSun" w:hAnsi="SimSun"/>
                <w:szCs w:val="21"/>
              </w:rPr>
            </w:pPr>
          </w:p>
          <w:p w:rsidR="005A6825" w:rsidRDefault="005A6825" w:rsidP="005A6825">
            <w:pPr>
              <w:snapToGrid w:val="0"/>
              <w:spacing w:line="360" w:lineRule="auto"/>
              <w:rPr>
                <w:rFonts w:ascii="SimSun" w:hAnsi="SimSun" w:hint="eastAsia"/>
                <w:szCs w:val="21"/>
                <w:lang w:eastAsia="ko-KR"/>
              </w:rPr>
            </w:pPr>
            <w:r w:rsidRPr="005A6825">
              <w:rPr>
                <w:rFonts w:ascii="SimSun" w:eastAsia="SimSun" w:hAnsi="SimSun" w:hint="eastAsia"/>
                <w:szCs w:val="21"/>
              </w:rPr>
              <w:t xml:space="preserve">　　（一）提出异议的当事人对证据的真实性明确认可的；</w:t>
            </w:r>
          </w:p>
          <w:p w:rsidR="005A6825" w:rsidRPr="005A6825" w:rsidRDefault="005A6825" w:rsidP="005A6825">
            <w:pPr>
              <w:snapToGrid w:val="0"/>
              <w:spacing w:line="360" w:lineRule="auto"/>
              <w:rPr>
                <w:rFonts w:ascii="SimSun" w:hAnsi="SimSun"/>
                <w:szCs w:val="21"/>
                <w:lang w:eastAsia="ko-KR"/>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（二）对方当事人提供证人证言对证据的真实性予以确认，且证人明确表示如作伪证愿意接受处罚的。</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前款第二项所称证人作伪证，构成民事诉讼法第一百一十一条规定情形的，人民法院依法处理。</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32"/>
              <w:rPr>
                <w:rFonts w:ascii="SimSun" w:hAnsi="SimSun" w:hint="eastAsia"/>
                <w:szCs w:val="21"/>
              </w:rPr>
            </w:pPr>
            <w:r w:rsidRPr="005A6825">
              <w:rPr>
                <w:rFonts w:ascii="SimSun" w:eastAsia="SimSun" w:hAnsi="SimSun" w:hint="eastAsia"/>
                <w:b/>
                <w:bCs/>
                <w:szCs w:val="21"/>
              </w:rPr>
              <w:t xml:space="preserve">第十条 </w:t>
            </w:r>
            <w:r w:rsidRPr="005A6825">
              <w:rPr>
                <w:rFonts w:ascii="SimSun" w:eastAsia="SimSun" w:hAnsi="SimSun" w:hint="eastAsia"/>
                <w:szCs w:val="21"/>
              </w:rPr>
              <w:t>在一审程序中已经根据民事诉讼法第五十九条、第二百六十四条的规定办理授权委托书公证、认证或者其他证明手续的，在后续诉讼程序中，人民法院可以不再要求办理该授权委托书的上述证明手续。</w:t>
            </w:r>
          </w:p>
          <w:p w:rsidR="005A6825" w:rsidRPr="005A6825" w:rsidRDefault="005A6825" w:rsidP="005A6825">
            <w:pPr>
              <w:snapToGrid w:val="0"/>
              <w:spacing w:line="360" w:lineRule="auto"/>
              <w:ind w:firstLine="432"/>
              <w:rPr>
                <w:rFonts w:ascii="SimSun" w:hAnsi="SimSun"/>
                <w:szCs w:val="21"/>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第十一条</w:t>
            </w:r>
            <w:r w:rsidRPr="005A6825">
              <w:rPr>
                <w:rFonts w:ascii="SimSun" w:eastAsia="SimSun" w:hAnsi="SimSun" w:hint="eastAsia"/>
                <w:szCs w:val="21"/>
              </w:rPr>
              <w:t xml:space="preserve"> 人民法院对于当事人或者利害关系人的证据保全申请，应当结合下列因素进行审查：</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rPr>
                <w:rFonts w:ascii="SimSun" w:hAnsi="SimSun" w:hint="eastAsia"/>
                <w:szCs w:val="21"/>
                <w:lang w:eastAsia="ko-KR"/>
              </w:rPr>
            </w:pPr>
            <w:r w:rsidRPr="005A6825">
              <w:rPr>
                <w:rFonts w:ascii="SimSun" w:eastAsia="SimSun" w:hAnsi="SimSun" w:hint="eastAsia"/>
                <w:szCs w:val="21"/>
              </w:rPr>
              <w:t xml:space="preserve">　　（一）申请人是否已就其主张提供初步证据；</w:t>
            </w:r>
          </w:p>
          <w:p w:rsidR="005A6825" w:rsidRPr="005A6825" w:rsidRDefault="005A6825" w:rsidP="005A6825">
            <w:pPr>
              <w:snapToGrid w:val="0"/>
              <w:spacing w:line="360" w:lineRule="auto"/>
              <w:rPr>
                <w:rFonts w:ascii="SimSun" w:hAnsi="SimSun"/>
                <w:szCs w:val="21"/>
                <w:lang w:eastAsia="ko-KR"/>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（二）证据是否可以由申请人自行收集；</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（三）证据灭失或者以后难以取得的可能性及其对证明待证事实的影响；</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（四）可能采取的保全措施对证据持有人的影响。</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第十二条</w:t>
            </w:r>
            <w:r w:rsidRPr="005A6825">
              <w:rPr>
                <w:rFonts w:ascii="SimSun" w:eastAsia="SimSun" w:hAnsi="SimSun" w:hint="eastAsia"/>
                <w:szCs w:val="21"/>
              </w:rPr>
              <w:t xml:space="preserve"> 人民法院进行证据保全，应当以有效固定证据为限，尽量减少对保全标的物价值的损害和对证据持有人正常生产经营的影响。</w:t>
            </w:r>
          </w:p>
          <w:p w:rsidR="005A6825" w:rsidRPr="005A6825" w:rsidRDefault="005A6825" w:rsidP="005A6825">
            <w:pPr>
              <w:snapToGrid w:val="0"/>
              <w:spacing w:line="360" w:lineRule="auto"/>
              <w:ind w:firstLine="420"/>
              <w:rPr>
                <w:rFonts w:ascii="SimSun" w:hAnsi="SimSun"/>
                <w:szCs w:val="21"/>
              </w:rPr>
            </w:pPr>
          </w:p>
          <w:p w:rsidR="005A6825" w:rsidRPr="005A6825" w:rsidRDefault="005A6825" w:rsidP="005A6825">
            <w:pPr>
              <w:snapToGrid w:val="0"/>
              <w:spacing w:line="360" w:lineRule="auto"/>
              <w:ind w:firstLine="444"/>
              <w:rPr>
                <w:rFonts w:ascii="SimSun" w:hAnsi="SimSun" w:hint="eastAsia"/>
                <w:w w:val="90"/>
                <w:szCs w:val="21"/>
              </w:rPr>
            </w:pPr>
            <w:r w:rsidRPr="005A6825">
              <w:rPr>
                <w:rFonts w:ascii="SimSun" w:eastAsia="SimSun" w:hAnsi="SimSun" w:hint="eastAsia"/>
                <w:w w:val="90"/>
                <w:szCs w:val="21"/>
              </w:rPr>
              <w:t>证据保全涉及技术方案的，可以采取制作现场勘验笔录、绘图、拍照、录音、录像、复制设计和生产图纸等保全措施。</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20"/>
              <w:rPr>
                <w:rFonts w:ascii="SimSun" w:hAnsi="SimSun" w:hint="eastAsia"/>
                <w:szCs w:val="21"/>
                <w:lang w:eastAsia="ko-KR"/>
              </w:rPr>
            </w:pPr>
            <w:r w:rsidRPr="005A6825">
              <w:rPr>
                <w:rFonts w:ascii="SimSun" w:eastAsia="SimSun" w:hAnsi="SimSun" w:hint="eastAsia"/>
                <w:b/>
                <w:bCs/>
                <w:szCs w:val="21"/>
              </w:rPr>
              <w:t>第十三条</w:t>
            </w:r>
            <w:r w:rsidRPr="005A6825">
              <w:rPr>
                <w:rFonts w:ascii="SimSun" w:eastAsia="SimSun" w:hAnsi="SimSun" w:hint="eastAsia"/>
                <w:szCs w:val="21"/>
              </w:rPr>
              <w:t xml:space="preserve"> 当事人无正当理由拒不配合或者妨害证据保全，致使无法保全证据的，人民法院可以确定由其承担不利后果。构成民事诉讼法第一百一十一条规定情形的，人民法院依法处理。</w:t>
            </w:r>
          </w:p>
          <w:p w:rsidR="005A6825" w:rsidRPr="005A6825" w:rsidRDefault="005A6825" w:rsidP="005A6825">
            <w:pPr>
              <w:snapToGrid w:val="0"/>
              <w:spacing w:line="360" w:lineRule="auto"/>
              <w:ind w:firstLine="420"/>
              <w:rPr>
                <w:rFonts w:ascii="SimSun" w:hAnsi="SimSun"/>
                <w:szCs w:val="21"/>
                <w:lang w:eastAsia="ko-KR"/>
              </w:rPr>
            </w:pPr>
          </w:p>
          <w:p w:rsidR="005A6825" w:rsidRDefault="005A6825" w:rsidP="005A6825">
            <w:pPr>
              <w:snapToGrid w:val="0"/>
              <w:spacing w:line="360" w:lineRule="auto"/>
              <w:ind w:firstLine="420"/>
              <w:rPr>
                <w:rFonts w:ascii="SimSun" w:hAnsi="SimSun" w:hint="eastAsia"/>
                <w:szCs w:val="21"/>
                <w:lang w:eastAsia="ko-KR"/>
              </w:rPr>
            </w:pPr>
            <w:r w:rsidRPr="005A6825">
              <w:rPr>
                <w:rFonts w:ascii="SimSun" w:eastAsia="SimSun" w:hAnsi="SimSun" w:hint="eastAsia"/>
                <w:b/>
                <w:bCs/>
                <w:szCs w:val="21"/>
              </w:rPr>
              <w:t>第十四条</w:t>
            </w:r>
            <w:r w:rsidRPr="005A6825">
              <w:rPr>
                <w:rFonts w:ascii="SimSun" w:eastAsia="SimSun" w:hAnsi="SimSun" w:hint="eastAsia"/>
                <w:szCs w:val="21"/>
              </w:rPr>
              <w:t xml:space="preserve"> 对于人民法院已经采取保全措施的证据，当事人擅自拆装证据实物、篡改证据材料或者实施其他破坏证据的行为，致使证据不能使用的，人民法院可以确定由其承担不利后果。构成民事诉讼法第一百一十一条规定情形的，人民法院依法处理。</w:t>
            </w:r>
          </w:p>
          <w:p w:rsidR="005A6825" w:rsidRPr="005A6825" w:rsidRDefault="005A6825" w:rsidP="005A6825">
            <w:pPr>
              <w:snapToGrid w:val="0"/>
              <w:spacing w:line="360" w:lineRule="auto"/>
              <w:ind w:firstLine="420"/>
              <w:rPr>
                <w:rFonts w:ascii="SimSun" w:hAnsi="SimSun"/>
                <w:szCs w:val="21"/>
                <w:lang w:eastAsia="ko-KR"/>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第十五条</w:t>
            </w:r>
            <w:r w:rsidRPr="005A6825">
              <w:rPr>
                <w:rFonts w:ascii="SimSun" w:eastAsia="SimSun" w:hAnsi="SimSun" w:hint="eastAsia"/>
                <w:szCs w:val="21"/>
              </w:rPr>
              <w:t xml:space="preserve"> 人民法院进行证据保全，可以要求当事人或者诉讼代理人到场，必要时可以根据当事人的申请通知有专门知识的人到场，也可以指派技术调查官参与证据保全。</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证据为案外人持有的，人民法院可以对其持有的证据采取保全措施。</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20"/>
              <w:rPr>
                <w:rFonts w:ascii="SimSun" w:hAnsi="SimSun" w:hint="eastAsia"/>
                <w:szCs w:val="21"/>
                <w:lang w:eastAsia="ko-KR"/>
              </w:rPr>
            </w:pPr>
            <w:r w:rsidRPr="005A6825">
              <w:rPr>
                <w:rFonts w:ascii="SimSun" w:eastAsia="SimSun" w:hAnsi="SimSun" w:hint="eastAsia"/>
                <w:b/>
                <w:bCs/>
                <w:szCs w:val="21"/>
              </w:rPr>
              <w:t>第十六条</w:t>
            </w:r>
            <w:r w:rsidRPr="005A6825">
              <w:rPr>
                <w:rFonts w:ascii="SimSun" w:eastAsia="SimSun" w:hAnsi="SimSun" w:hint="eastAsia"/>
                <w:szCs w:val="21"/>
              </w:rPr>
              <w:t xml:space="preserve"> 人民法院进行证据保全，应当制作笔录、保全证据清单，记录保全时间、地点、实施人、在场人、保全经过、保全标的物状态，由实施人、在场人签名或者盖章。有关人员拒绝签名或者盖章的，不影响保全的效力，人民法院可以在笔录上记明并拍照、录像。</w:t>
            </w:r>
          </w:p>
          <w:p w:rsidR="005A6825" w:rsidRPr="005A6825" w:rsidRDefault="005A6825" w:rsidP="005A6825">
            <w:pPr>
              <w:snapToGrid w:val="0"/>
              <w:spacing w:line="360" w:lineRule="auto"/>
              <w:ind w:firstLine="420"/>
              <w:rPr>
                <w:rFonts w:ascii="SimSun" w:hAnsi="SimSun"/>
                <w:szCs w:val="21"/>
                <w:lang w:eastAsia="ko-KR"/>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lastRenderedPageBreak/>
              <w:t xml:space="preserve">第十七条 </w:t>
            </w:r>
            <w:r w:rsidRPr="005A6825">
              <w:rPr>
                <w:rFonts w:ascii="SimSun" w:eastAsia="SimSun" w:hAnsi="SimSun" w:hint="eastAsia"/>
                <w:spacing w:val="6"/>
                <w:szCs w:val="21"/>
              </w:rPr>
              <w:t>被申请人对证据保全的范围、措施、必要性等提出异议并提供相关证据，人民法院经审查认为异议理由成立的，可以变更、终止、解除证据保全。</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 xml:space="preserve">第十八条 </w:t>
            </w:r>
            <w:r w:rsidRPr="005A6825">
              <w:rPr>
                <w:rFonts w:ascii="SimSun" w:eastAsia="SimSun" w:hAnsi="SimSun" w:hint="eastAsia"/>
                <w:szCs w:val="21"/>
              </w:rPr>
              <w:t>申请人放弃使用被保全证据，但被保全证据涉及案件基本事实查明或者其他当事人主张使用的，人民法院可以对该证据进行审查认定。</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第十九条</w:t>
            </w:r>
            <w:r w:rsidRPr="005A6825">
              <w:rPr>
                <w:rFonts w:ascii="SimSun" w:eastAsia="SimSun" w:hAnsi="SimSun" w:hint="eastAsia"/>
                <w:szCs w:val="21"/>
              </w:rPr>
              <w:t xml:space="preserve"> 人民法院可以对下列待证事实的专门性问题委托鉴定：</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rPr>
                <w:rFonts w:ascii="SimSun" w:hAnsi="SimSun" w:hint="eastAsia"/>
                <w:szCs w:val="21"/>
                <w:lang w:eastAsia="ko-KR"/>
              </w:rPr>
            </w:pPr>
            <w:r w:rsidRPr="005A6825">
              <w:rPr>
                <w:rFonts w:ascii="SimSun" w:eastAsia="SimSun" w:hAnsi="SimSun" w:hint="eastAsia"/>
                <w:szCs w:val="21"/>
              </w:rPr>
              <w:t xml:space="preserve">　　（一）被诉侵权技术方案与专利技术方案、现有技术的对应技术特征在手段、功能、效果等方面的异同；</w:t>
            </w:r>
          </w:p>
          <w:p w:rsidR="005A6825" w:rsidRPr="005A6825" w:rsidRDefault="005A6825" w:rsidP="005A6825">
            <w:pPr>
              <w:snapToGrid w:val="0"/>
              <w:spacing w:line="360" w:lineRule="auto"/>
              <w:rPr>
                <w:rFonts w:ascii="SimSun" w:hAnsi="SimSun"/>
                <w:szCs w:val="21"/>
                <w:lang w:eastAsia="ko-KR"/>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（二）被诉侵权作品与主张权利的作品的异同；</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（三）当事人主张的商业秘密与所属领域已为公众所知悉的信息的异同、被诉侵权的信息与商业秘密的异同；</w:t>
            </w:r>
          </w:p>
          <w:p w:rsidR="005A6825" w:rsidRPr="005A6825" w:rsidRDefault="005A6825" w:rsidP="005A6825">
            <w:pPr>
              <w:snapToGrid w:val="0"/>
              <w:spacing w:line="360" w:lineRule="auto"/>
              <w:rPr>
                <w:rFonts w:ascii="SimSun" w:hAnsi="SimSun"/>
                <w:szCs w:val="21"/>
              </w:rPr>
            </w:pPr>
          </w:p>
          <w:p w:rsidR="005A6825" w:rsidRDefault="005A6825" w:rsidP="005A6825">
            <w:pPr>
              <w:snapToGrid w:val="0"/>
              <w:spacing w:line="360" w:lineRule="auto"/>
              <w:ind w:firstLine="444"/>
              <w:rPr>
                <w:rFonts w:ascii="SimSun" w:hAnsi="SimSun" w:hint="eastAsia"/>
                <w:szCs w:val="21"/>
                <w:lang w:eastAsia="ko-KR"/>
              </w:rPr>
            </w:pPr>
            <w:r w:rsidRPr="005A6825">
              <w:rPr>
                <w:rFonts w:ascii="SimSun" w:eastAsia="SimSun" w:hAnsi="SimSun" w:hint="eastAsia"/>
                <w:szCs w:val="21"/>
              </w:rPr>
              <w:t>（四）被诉侵权物与授权品种在特征、特性方面的异同，其不同是否因非遗传变异所致；</w:t>
            </w:r>
          </w:p>
          <w:p w:rsidR="005A6825" w:rsidRPr="005A6825" w:rsidRDefault="005A6825" w:rsidP="005A6825">
            <w:pPr>
              <w:snapToGrid w:val="0"/>
              <w:spacing w:line="360" w:lineRule="auto"/>
              <w:ind w:firstLine="444"/>
              <w:rPr>
                <w:rFonts w:ascii="SimSun" w:hAnsi="SimSun"/>
                <w:szCs w:val="21"/>
                <w:lang w:eastAsia="ko-KR"/>
              </w:rPr>
            </w:pPr>
          </w:p>
          <w:p w:rsidR="005A6825" w:rsidRPr="005A6825" w:rsidRDefault="005A6825" w:rsidP="005A6825">
            <w:pPr>
              <w:snapToGrid w:val="0"/>
              <w:spacing w:line="360" w:lineRule="auto"/>
              <w:rPr>
                <w:rFonts w:ascii="SimSun" w:eastAsia="SimSun" w:hAnsi="SimSun"/>
                <w:szCs w:val="21"/>
              </w:rPr>
            </w:pPr>
            <w:r w:rsidRPr="005A6825">
              <w:rPr>
                <w:rFonts w:ascii="SimSun" w:eastAsia="SimSun" w:hAnsi="SimSun" w:hint="eastAsia"/>
                <w:szCs w:val="21"/>
              </w:rPr>
              <w:t xml:space="preserve">　　（五）</w:t>
            </w:r>
            <w:r w:rsidRPr="005A6825">
              <w:rPr>
                <w:rFonts w:ascii="SimSun" w:eastAsia="SimSun" w:hAnsi="SimSun" w:hint="eastAsia"/>
                <w:spacing w:val="8"/>
                <w:szCs w:val="21"/>
              </w:rPr>
              <w:t>被诉侵权集成电路布图设计与请求保护的集成电路布图设计的异同；</w:t>
            </w: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lastRenderedPageBreak/>
              <w:t>（六）</w:t>
            </w:r>
            <w:r w:rsidRPr="005A6825">
              <w:rPr>
                <w:rFonts w:ascii="SimSun" w:eastAsia="SimSun" w:hAnsi="SimSun" w:hint="eastAsia"/>
                <w:spacing w:val="8"/>
                <w:szCs w:val="21"/>
              </w:rPr>
              <w:t>合同涉及的技术是否存在缺陷；</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80"/>
              <w:rPr>
                <w:rFonts w:ascii="SimSun" w:hAnsi="SimSun" w:hint="eastAsia"/>
                <w:spacing w:val="-6"/>
                <w:szCs w:val="21"/>
                <w:lang w:eastAsia="ko-KR"/>
              </w:rPr>
            </w:pPr>
            <w:r w:rsidRPr="005A6825">
              <w:rPr>
                <w:rFonts w:ascii="SimSun" w:eastAsia="SimSun" w:hAnsi="SimSun" w:hint="eastAsia"/>
                <w:szCs w:val="21"/>
              </w:rPr>
              <w:t>（七）</w:t>
            </w:r>
            <w:r w:rsidRPr="005A6825">
              <w:rPr>
                <w:rFonts w:ascii="SimSun" w:eastAsia="SimSun" w:hAnsi="SimSun" w:hint="eastAsia"/>
                <w:spacing w:val="-6"/>
                <w:szCs w:val="21"/>
              </w:rPr>
              <w:t>电子数据的真实性、完整性；</w:t>
            </w:r>
          </w:p>
          <w:p w:rsidR="005A6825" w:rsidRPr="005A6825" w:rsidRDefault="005A6825" w:rsidP="005A6825">
            <w:pPr>
              <w:snapToGrid w:val="0"/>
              <w:spacing w:line="360" w:lineRule="auto"/>
              <w:ind w:firstLine="480"/>
              <w:rPr>
                <w:rFonts w:ascii="SimSun" w:hAnsi="SimSun"/>
                <w:szCs w:val="21"/>
                <w:lang w:eastAsia="ko-KR"/>
              </w:rPr>
            </w:pPr>
          </w:p>
          <w:p w:rsidR="005A6825" w:rsidRPr="005A6825" w:rsidRDefault="005A6825" w:rsidP="005A6825">
            <w:pPr>
              <w:snapToGrid w:val="0"/>
              <w:spacing w:line="360" w:lineRule="auto"/>
              <w:ind w:firstLine="444"/>
              <w:rPr>
                <w:rFonts w:ascii="SimSun" w:hAnsi="SimSun" w:hint="eastAsia"/>
                <w:spacing w:val="-6"/>
                <w:w w:val="90"/>
                <w:szCs w:val="21"/>
              </w:rPr>
            </w:pPr>
            <w:r w:rsidRPr="005A6825">
              <w:rPr>
                <w:rFonts w:ascii="SimSun" w:eastAsia="SimSun" w:hAnsi="SimSun" w:hint="eastAsia"/>
                <w:szCs w:val="21"/>
              </w:rPr>
              <w:t>（八）</w:t>
            </w:r>
            <w:r w:rsidRPr="005A6825">
              <w:rPr>
                <w:rFonts w:ascii="SimSun" w:eastAsia="SimSun" w:hAnsi="SimSun" w:hint="eastAsia"/>
                <w:spacing w:val="-6"/>
                <w:w w:val="90"/>
                <w:szCs w:val="21"/>
              </w:rPr>
              <w:t>其他需要委托鉴定的专门性问题。</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32"/>
              <w:rPr>
                <w:rFonts w:ascii="SimSun" w:hAnsi="SimSun" w:hint="eastAsia"/>
                <w:szCs w:val="21"/>
              </w:rPr>
            </w:pPr>
            <w:r w:rsidRPr="005A6825">
              <w:rPr>
                <w:rFonts w:ascii="SimSun" w:eastAsia="SimSun" w:hAnsi="SimSun" w:hint="eastAsia"/>
                <w:b/>
                <w:bCs/>
                <w:szCs w:val="21"/>
              </w:rPr>
              <w:t>第二十条</w:t>
            </w:r>
            <w:r w:rsidRPr="005A6825">
              <w:rPr>
                <w:rFonts w:ascii="SimSun" w:eastAsia="SimSun" w:hAnsi="SimSun" w:hint="eastAsia"/>
                <w:szCs w:val="21"/>
              </w:rPr>
              <w:t xml:space="preserve"> 经人民法院准许或者双方当事人同意，鉴定人可以将鉴定所涉部分检测事项委托其他检测机构进行检测，鉴定人对根据检测结果出具的鉴定意见承担法律责任。</w:t>
            </w:r>
          </w:p>
          <w:p w:rsidR="005A6825" w:rsidRPr="005A6825" w:rsidRDefault="005A6825" w:rsidP="005A6825">
            <w:pPr>
              <w:snapToGrid w:val="0"/>
              <w:spacing w:line="360" w:lineRule="auto"/>
              <w:ind w:firstLine="432"/>
              <w:rPr>
                <w:rFonts w:ascii="SimSun" w:hAnsi="SimSun"/>
                <w:szCs w:val="21"/>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 xml:space="preserve">第二十一条 </w:t>
            </w:r>
            <w:r w:rsidRPr="005A6825">
              <w:rPr>
                <w:rFonts w:ascii="SimSun" w:eastAsia="SimSun" w:hAnsi="SimSun" w:hint="eastAsia"/>
                <w:szCs w:val="21"/>
              </w:rPr>
              <w:t>鉴定业务领域未实行鉴定人和鉴定机构统一登记管理制度的，人民法院可以依照《最高人民法院关于民事诉讼证据的若干规定》第三十二条规定的鉴定人选任程序，确定具有相应技术水平的专业机构、专业人员鉴定。</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ind w:firstLine="420"/>
              <w:rPr>
                <w:rFonts w:ascii="SimSun" w:hAnsi="SimSun" w:hint="eastAsia"/>
                <w:szCs w:val="21"/>
                <w:lang w:eastAsia="ko-KR"/>
              </w:rPr>
            </w:pPr>
            <w:r w:rsidRPr="005A6825">
              <w:rPr>
                <w:rFonts w:ascii="SimSun" w:eastAsia="SimSun" w:hAnsi="SimSun" w:hint="eastAsia"/>
                <w:b/>
                <w:bCs/>
                <w:szCs w:val="21"/>
              </w:rPr>
              <w:t xml:space="preserve">第二十二条 </w:t>
            </w:r>
            <w:r w:rsidRPr="005A6825">
              <w:rPr>
                <w:rFonts w:ascii="SimSun" w:eastAsia="SimSun" w:hAnsi="SimSun" w:hint="eastAsia"/>
                <w:szCs w:val="21"/>
              </w:rPr>
              <w:t>人民法院应当听取各方当事人意见，并结合当事人提出的证据确定鉴定范围。鉴定过程中，一方当事人申请变更鉴定范围，对方当事人无异议的，人民法院可以准许。</w:t>
            </w:r>
          </w:p>
          <w:p w:rsidR="005A6825" w:rsidRPr="005A6825" w:rsidRDefault="005A6825" w:rsidP="005A6825">
            <w:pPr>
              <w:snapToGrid w:val="0"/>
              <w:spacing w:line="360" w:lineRule="auto"/>
              <w:ind w:firstLine="420"/>
              <w:rPr>
                <w:rFonts w:ascii="SimSun" w:hAnsi="SimSun"/>
                <w:szCs w:val="21"/>
                <w:lang w:eastAsia="ko-KR"/>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b/>
                <w:bCs/>
                <w:szCs w:val="21"/>
              </w:rPr>
              <w:t xml:space="preserve">第二十三条 </w:t>
            </w:r>
            <w:r w:rsidRPr="005A6825">
              <w:rPr>
                <w:rFonts w:ascii="SimSun" w:eastAsia="SimSun" w:hAnsi="SimSun" w:hint="eastAsia"/>
                <w:szCs w:val="21"/>
              </w:rPr>
              <w:t>人民法院应当结合下列因素对鉴定意见进行审查：</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rPr>
                <w:rFonts w:ascii="SimSun" w:hAnsi="SimSun" w:hint="eastAsia"/>
                <w:szCs w:val="21"/>
                <w:lang w:eastAsia="ko-KR"/>
              </w:rPr>
            </w:pPr>
            <w:r w:rsidRPr="005A6825">
              <w:rPr>
                <w:rFonts w:ascii="SimSun" w:eastAsia="SimSun" w:hAnsi="SimSun" w:hint="eastAsia"/>
                <w:szCs w:val="21"/>
              </w:rPr>
              <w:t xml:space="preserve">　　（一）鉴定人是否具备相应资格；</w:t>
            </w:r>
          </w:p>
          <w:p w:rsidR="005A6825" w:rsidRPr="005A6825" w:rsidRDefault="005A6825" w:rsidP="005A6825">
            <w:pPr>
              <w:snapToGrid w:val="0"/>
              <w:spacing w:line="360" w:lineRule="auto"/>
              <w:rPr>
                <w:rFonts w:ascii="SimSun" w:hAnsi="SimSun"/>
                <w:szCs w:val="21"/>
                <w:lang w:eastAsia="ko-KR"/>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（二）鉴定人是否具备解决相关专</w:t>
            </w:r>
            <w:r w:rsidRPr="005A6825">
              <w:rPr>
                <w:rFonts w:ascii="SimSun" w:eastAsia="SimSun" w:hAnsi="SimSun" w:hint="eastAsia"/>
                <w:szCs w:val="21"/>
              </w:rPr>
              <w:lastRenderedPageBreak/>
              <w:t>门性问题应有的知识、经验及技能；</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（三）鉴定方法和鉴定程序是否规范，技术手段是否可靠；</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（四）送检材料是否经过当事人质证且符合鉴定条件；</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20"/>
              <w:rPr>
                <w:rFonts w:ascii="SimSun" w:hAnsi="SimSun" w:hint="eastAsia"/>
                <w:szCs w:val="21"/>
              </w:rPr>
            </w:pPr>
            <w:r w:rsidRPr="005A6825">
              <w:rPr>
                <w:rFonts w:ascii="SimSun" w:eastAsia="SimSun" w:hAnsi="SimSun" w:hint="eastAsia"/>
                <w:szCs w:val="21"/>
              </w:rPr>
              <w:t>（五）鉴定意见的依据是否充分；</w:t>
            </w:r>
          </w:p>
          <w:p w:rsidR="005A6825" w:rsidRPr="005A6825" w:rsidRDefault="005A6825" w:rsidP="005A6825">
            <w:pPr>
              <w:snapToGrid w:val="0"/>
              <w:spacing w:line="360" w:lineRule="auto"/>
              <w:ind w:firstLine="420"/>
              <w:rPr>
                <w:rFonts w:ascii="SimSun" w:hAnsi="SimSun"/>
                <w:szCs w:val="21"/>
              </w:rPr>
            </w:pPr>
          </w:p>
          <w:p w:rsidR="005A6825" w:rsidRDefault="005A6825" w:rsidP="005A6825">
            <w:pPr>
              <w:snapToGrid w:val="0"/>
              <w:spacing w:line="360" w:lineRule="auto"/>
              <w:ind w:firstLine="444"/>
              <w:rPr>
                <w:rFonts w:ascii="SimSun" w:hAnsi="SimSun" w:hint="eastAsia"/>
                <w:szCs w:val="21"/>
              </w:rPr>
            </w:pPr>
            <w:r w:rsidRPr="005A6825">
              <w:rPr>
                <w:rFonts w:ascii="SimSun" w:eastAsia="SimSun" w:hAnsi="SimSun" w:hint="eastAsia"/>
                <w:szCs w:val="21"/>
              </w:rPr>
              <w:t>（六）鉴定人有无应当回避的法定事由；</w:t>
            </w:r>
          </w:p>
          <w:p w:rsidR="005A6825" w:rsidRPr="005A6825" w:rsidRDefault="005A6825" w:rsidP="005A6825">
            <w:pPr>
              <w:snapToGrid w:val="0"/>
              <w:spacing w:line="360" w:lineRule="auto"/>
              <w:ind w:firstLine="444"/>
              <w:rPr>
                <w:rFonts w:ascii="SimSun" w:hAnsi="SimSun"/>
                <w:szCs w:val="21"/>
              </w:rPr>
            </w:pPr>
          </w:p>
          <w:p w:rsidR="005A6825" w:rsidRDefault="005A6825" w:rsidP="005A6825">
            <w:pPr>
              <w:snapToGrid w:val="0"/>
              <w:spacing w:line="360" w:lineRule="auto"/>
              <w:ind w:firstLine="444"/>
              <w:rPr>
                <w:rFonts w:ascii="SimSun" w:hAnsi="SimSun" w:hint="eastAsia"/>
                <w:szCs w:val="21"/>
                <w:lang w:eastAsia="ko-KR"/>
              </w:rPr>
            </w:pPr>
            <w:r w:rsidRPr="005A6825">
              <w:rPr>
                <w:rFonts w:ascii="SimSun" w:eastAsia="SimSun" w:hAnsi="SimSun" w:hint="eastAsia"/>
                <w:szCs w:val="21"/>
              </w:rPr>
              <w:t>（七）鉴定人在鉴定过程中有无徇私舞弊或者其他影响公正鉴定的情形。</w:t>
            </w:r>
          </w:p>
          <w:p w:rsidR="00E829C7" w:rsidRPr="00E829C7" w:rsidRDefault="00E829C7" w:rsidP="00E829C7">
            <w:pPr>
              <w:snapToGrid w:val="0"/>
              <w:spacing w:line="360" w:lineRule="auto"/>
              <w:rPr>
                <w:rFonts w:ascii="SimSun" w:hAnsi="SimSun" w:hint="eastAsia"/>
                <w:szCs w:val="21"/>
                <w:lang w:eastAsia="ko-KR"/>
              </w:rPr>
            </w:pPr>
          </w:p>
          <w:p w:rsidR="005A6825" w:rsidRPr="005A6825" w:rsidRDefault="005A6825" w:rsidP="005A6825">
            <w:pPr>
              <w:snapToGrid w:val="0"/>
              <w:spacing w:line="360" w:lineRule="auto"/>
              <w:rPr>
                <w:rFonts w:ascii="SimSun" w:hAnsi="SimSun"/>
                <w:szCs w:val="21"/>
              </w:rPr>
            </w:pPr>
          </w:p>
          <w:p w:rsidR="005A6825" w:rsidRDefault="005A6825" w:rsidP="00E829C7">
            <w:pPr>
              <w:snapToGrid w:val="0"/>
              <w:spacing w:line="360" w:lineRule="auto"/>
              <w:ind w:firstLine="420"/>
              <w:rPr>
                <w:rFonts w:ascii="SimSun" w:hAnsi="SimSun" w:hint="eastAsia"/>
                <w:szCs w:val="21"/>
              </w:rPr>
            </w:pPr>
            <w:r w:rsidRPr="005A6825">
              <w:rPr>
                <w:rFonts w:ascii="SimSun" w:eastAsia="SimSun" w:hAnsi="SimSun" w:hint="eastAsia"/>
                <w:b/>
                <w:bCs/>
                <w:szCs w:val="21"/>
              </w:rPr>
              <w:t xml:space="preserve">第二十四条 </w:t>
            </w:r>
            <w:r w:rsidRPr="005A6825">
              <w:rPr>
                <w:rFonts w:ascii="SimSun" w:eastAsia="SimSun" w:hAnsi="SimSun" w:hint="eastAsia"/>
                <w:szCs w:val="21"/>
              </w:rPr>
              <w:t>承担举证责任的当事人书面申请人民法院责令控制证据的对方当事人提交证据，申请理由成立的，人民法院应当作出裁定，责令其提交。</w:t>
            </w:r>
          </w:p>
          <w:p w:rsidR="00E829C7" w:rsidRPr="00E829C7" w:rsidRDefault="00E829C7" w:rsidP="00E829C7">
            <w:pPr>
              <w:snapToGrid w:val="0"/>
              <w:spacing w:line="360" w:lineRule="auto"/>
              <w:ind w:firstLine="420"/>
              <w:rPr>
                <w:rFonts w:ascii="SimSun" w:hAnsi="SimSun"/>
                <w:szCs w:val="21"/>
              </w:rPr>
            </w:pPr>
          </w:p>
          <w:p w:rsidR="005A6825" w:rsidRDefault="005A6825" w:rsidP="00E829C7">
            <w:pPr>
              <w:snapToGrid w:val="0"/>
              <w:spacing w:line="360" w:lineRule="auto"/>
              <w:ind w:firstLine="420"/>
              <w:rPr>
                <w:rFonts w:ascii="SimSun" w:hAnsi="SimSun" w:hint="eastAsia"/>
                <w:szCs w:val="21"/>
              </w:rPr>
            </w:pPr>
            <w:r w:rsidRPr="005A6825">
              <w:rPr>
                <w:rFonts w:ascii="SimSun" w:eastAsia="SimSun" w:hAnsi="SimSun" w:hint="eastAsia"/>
                <w:b/>
                <w:bCs/>
                <w:szCs w:val="21"/>
              </w:rPr>
              <w:t>第二十五条</w:t>
            </w:r>
            <w:r w:rsidRPr="005A6825">
              <w:rPr>
                <w:rFonts w:ascii="SimSun" w:eastAsia="SimSun" w:hAnsi="SimSun" w:hint="eastAsia"/>
                <w:szCs w:val="21"/>
              </w:rPr>
              <w:t xml:space="preserve"> 人民法院依法要求当事人提交有关证据，其无正当理由拒不提交、提交虚假证据、毁灭证据或者实施其他致使证据不能使用行为的，人民法院可以推定对方当事人就该证据所涉证明事项的主张成立。</w:t>
            </w:r>
          </w:p>
          <w:p w:rsidR="00E829C7" w:rsidRPr="00E829C7" w:rsidRDefault="00E829C7" w:rsidP="00E829C7">
            <w:pPr>
              <w:snapToGrid w:val="0"/>
              <w:spacing w:line="360" w:lineRule="auto"/>
              <w:ind w:firstLine="420"/>
              <w:rPr>
                <w:rFonts w:ascii="SimSun" w:hAnsi="SimSun"/>
                <w:szCs w:val="21"/>
              </w:rPr>
            </w:pPr>
          </w:p>
          <w:p w:rsidR="005A6825" w:rsidRDefault="005A6825" w:rsidP="00E829C7">
            <w:pPr>
              <w:snapToGrid w:val="0"/>
              <w:spacing w:line="360" w:lineRule="auto"/>
              <w:ind w:firstLine="444"/>
              <w:rPr>
                <w:rFonts w:ascii="SimSun" w:hAnsi="SimSun" w:hint="eastAsia"/>
                <w:szCs w:val="21"/>
              </w:rPr>
            </w:pPr>
            <w:r w:rsidRPr="005A6825">
              <w:rPr>
                <w:rFonts w:ascii="SimSun" w:eastAsia="SimSun" w:hAnsi="SimSun" w:hint="eastAsia"/>
                <w:szCs w:val="21"/>
              </w:rPr>
              <w:t>当事人实施前款所列行为，构成民事诉讼法第一百一十一条规定情形的，人民法院依法处理。</w:t>
            </w:r>
          </w:p>
          <w:p w:rsidR="00E829C7" w:rsidRPr="00E829C7" w:rsidRDefault="00E829C7" w:rsidP="00E829C7">
            <w:pPr>
              <w:snapToGrid w:val="0"/>
              <w:spacing w:line="360" w:lineRule="auto"/>
              <w:ind w:firstLine="444"/>
              <w:rPr>
                <w:rFonts w:ascii="SimSun" w:hAnsi="SimSun"/>
                <w:szCs w:val="21"/>
              </w:rPr>
            </w:pPr>
          </w:p>
          <w:p w:rsidR="005A6825" w:rsidRDefault="005A6825" w:rsidP="00E829C7">
            <w:pPr>
              <w:snapToGrid w:val="0"/>
              <w:spacing w:line="360" w:lineRule="auto"/>
              <w:ind w:firstLine="420"/>
              <w:rPr>
                <w:rFonts w:ascii="SimSun" w:hAnsi="SimSun" w:hint="eastAsia"/>
                <w:szCs w:val="21"/>
              </w:rPr>
            </w:pPr>
            <w:r w:rsidRPr="005A6825">
              <w:rPr>
                <w:rFonts w:ascii="SimSun" w:eastAsia="SimSun" w:hAnsi="SimSun" w:hint="eastAsia"/>
                <w:b/>
                <w:bCs/>
                <w:szCs w:val="21"/>
              </w:rPr>
              <w:t>第二十六条</w:t>
            </w:r>
            <w:r w:rsidRPr="005A6825">
              <w:rPr>
                <w:rFonts w:ascii="SimSun" w:eastAsia="SimSun" w:hAnsi="SimSun" w:hint="eastAsia"/>
                <w:szCs w:val="21"/>
              </w:rPr>
              <w:t xml:space="preserve"> 证据涉及商业秘密或者其他需要保密的商业信息的，人民法院应当在相关诉讼参与人接触该证据前，要求其签订保密协议、作出保密承诺，或者以裁定等法律文书责令其不得出于本案诉讼之外的任何目的披露、使用、允许他人使用在诉讼程序中接触到的秘密信息。</w:t>
            </w:r>
          </w:p>
          <w:p w:rsidR="00E829C7" w:rsidRPr="00E829C7" w:rsidRDefault="00E829C7" w:rsidP="00E829C7">
            <w:pPr>
              <w:snapToGrid w:val="0"/>
              <w:spacing w:line="360" w:lineRule="auto"/>
              <w:ind w:firstLine="420"/>
              <w:rPr>
                <w:rFonts w:ascii="SimSun" w:hAnsi="SimSun"/>
                <w:szCs w:val="21"/>
              </w:rPr>
            </w:pPr>
          </w:p>
          <w:p w:rsidR="005A6825" w:rsidRDefault="005A6825" w:rsidP="00E829C7">
            <w:pPr>
              <w:snapToGrid w:val="0"/>
              <w:spacing w:line="360" w:lineRule="auto"/>
              <w:ind w:firstLine="444"/>
              <w:rPr>
                <w:rFonts w:ascii="SimSun" w:hAnsi="SimSun" w:hint="eastAsia"/>
                <w:szCs w:val="21"/>
              </w:rPr>
            </w:pPr>
            <w:r w:rsidRPr="005A6825">
              <w:rPr>
                <w:rFonts w:ascii="SimSun" w:eastAsia="SimSun" w:hAnsi="SimSun" w:hint="eastAsia"/>
                <w:szCs w:val="21"/>
              </w:rPr>
              <w:t>当事人申请对接触前款所称证据的人员范围作出限制，人民法院经审查认为确有必要的，应当准许。</w:t>
            </w:r>
          </w:p>
          <w:p w:rsidR="00E829C7" w:rsidRPr="00E829C7" w:rsidRDefault="00E829C7" w:rsidP="00E829C7">
            <w:pPr>
              <w:snapToGrid w:val="0"/>
              <w:spacing w:line="360" w:lineRule="auto"/>
              <w:ind w:firstLine="444"/>
              <w:rPr>
                <w:rFonts w:ascii="SimSun" w:hAnsi="SimSun"/>
                <w:szCs w:val="21"/>
              </w:rPr>
            </w:pPr>
          </w:p>
          <w:p w:rsidR="005A6825" w:rsidRDefault="005A6825" w:rsidP="00E829C7">
            <w:pPr>
              <w:snapToGrid w:val="0"/>
              <w:spacing w:line="360" w:lineRule="auto"/>
              <w:ind w:firstLine="420"/>
              <w:rPr>
                <w:rFonts w:ascii="SimSun" w:hAnsi="SimSun" w:hint="eastAsia"/>
                <w:szCs w:val="21"/>
              </w:rPr>
            </w:pPr>
            <w:r w:rsidRPr="005A6825">
              <w:rPr>
                <w:rFonts w:ascii="SimSun" w:eastAsia="SimSun" w:hAnsi="SimSun" w:hint="eastAsia"/>
                <w:b/>
                <w:bCs/>
                <w:szCs w:val="21"/>
              </w:rPr>
              <w:t>第二十七条</w:t>
            </w:r>
            <w:r w:rsidRPr="005A6825">
              <w:rPr>
                <w:rFonts w:ascii="SimSun" w:eastAsia="SimSun" w:hAnsi="SimSun" w:hint="eastAsia"/>
                <w:szCs w:val="21"/>
              </w:rPr>
              <w:t xml:space="preserve"> 证人应当出庭作证，接受审判人员及当事人的询问。</w:t>
            </w:r>
          </w:p>
          <w:p w:rsidR="00E829C7" w:rsidRPr="00E829C7" w:rsidRDefault="00E829C7" w:rsidP="00E829C7">
            <w:pPr>
              <w:snapToGrid w:val="0"/>
              <w:spacing w:line="360" w:lineRule="auto"/>
              <w:ind w:firstLine="420"/>
              <w:rPr>
                <w:rFonts w:ascii="SimSun" w:hAnsi="SimSun"/>
                <w:szCs w:val="21"/>
              </w:rPr>
            </w:pPr>
          </w:p>
          <w:p w:rsidR="005A6825" w:rsidRDefault="005A6825" w:rsidP="00E829C7">
            <w:pPr>
              <w:snapToGrid w:val="0"/>
              <w:spacing w:line="360" w:lineRule="auto"/>
              <w:ind w:firstLine="480"/>
              <w:rPr>
                <w:rFonts w:ascii="SimSun" w:hAnsi="SimSun" w:hint="eastAsia"/>
                <w:szCs w:val="21"/>
              </w:rPr>
            </w:pPr>
            <w:r w:rsidRPr="005A6825">
              <w:rPr>
                <w:rFonts w:ascii="SimSun" w:eastAsia="SimSun" w:hAnsi="SimSun" w:hint="eastAsia"/>
                <w:szCs w:val="21"/>
              </w:rPr>
              <w:t>双方当事人同意并经人民法院准许，证人不出庭的，人民法院应当组织当事人对该证人证言进行质证。</w:t>
            </w:r>
          </w:p>
          <w:p w:rsidR="00E829C7" w:rsidRPr="00E829C7" w:rsidRDefault="00E829C7" w:rsidP="00E829C7">
            <w:pPr>
              <w:snapToGrid w:val="0"/>
              <w:spacing w:line="360" w:lineRule="auto"/>
              <w:ind w:firstLine="480"/>
              <w:rPr>
                <w:rFonts w:ascii="SimSun" w:hAnsi="SimSun"/>
                <w:szCs w:val="21"/>
              </w:rPr>
            </w:pPr>
          </w:p>
          <w:p w:rsidR="005A6825" w:rsidRDefault="005A6825" w:rsidP="00E829C7">
            <w:pPr>
              <w:snapToGrid w:val="0"/>
              <w:spacing w:line="360" w:lineRule="auto"/>
              <w:ind w:firstLine="420"/>
              <w:rPr>
                <w:rFonts w:ascii="SimSun" w:hAnsi="SimSun" w:hint="eastAsia"/>
                <w:szCs w:val="21"/>
                <w:lang w:eastAsia="ko-KR"/>
              </w:rPr>
            </w:pPr>
            <w:r w:rsidRPr="005A6825">
              <w:rPr>
                <w:rFonts w:ascii="SimSun" w:eastAsia="SimSun" w:hAnsi="SimSun" w:hint="eastAsia"/>
                <w:b/>
                <w:bCs/>
                <w:szCs w:val="21"/>
              </w:rPr>
              <w:t>第二十八条</w:t>
            </w:r>
            <w:r w:rsidRPr="005A6825">
              <w:rPr>
                <w:rFonts w:ascii="SimSun" w:eastAsia="SimSun" w:hAnsi="SimSun" w:hint="eastAsia"/>
                <w:szCs w:val="21"/>
              </w:rPr>
              <w:t xml:space="preserve"> 当事人可以申请有专门知识的人出庭，就专业问题提出意见。经法庭准许，当事人可以对有专门知识的人进行询问。</w:t>
            </w:r>
          </w:p>
          <w:p w:rsidR="00E829C7" w:rsidRPr="00E829C7" w:rsidRDefault="00E829C7" w:rsidP="00E829C7">
            <w:pPr>
              <w:snapToGrid w:val="0"/>
              <w:spacing w:line="360" w:lineRule="auto"/>
              <w:ind w:firstLine="420"/>
              <w:rPr>
                <w:rFonts w:ascii="SimSun" w:hAnsi="SimSun"/>
                <w:szCs w:val="21"/>
                <w:lang w:eastAsia="ko-KR"/>
              </w:rPr>
            </w:pPr>
          </w:p>
          <w:p w:rsidR="005A6825" w:rsidRDefault="005A6825" w:rsidP="00E829C7">
            <w:pPr>
              <w:snapToGrid w:val="0"/>
              <w:spacing w:line="360" w:lineRule="auto"/>
              <w:ind w:firstLine="432"/>
              <w:rPr>
                <w:rFonts w:ascii="SimSun" w:hAnsi="SimSun" w:hint="eastAsia"/>
                <w:szCs w:val="21"/>
              </w:rPr>
            </w:pPr>
            <w:r w:rsidRPr="005A6825">
              <w:rPr>
                <w:rFonts w:ascii="SimSun" w:eastAsia="SimSun" w:hAnsi="SimSun" w:hint="eastAsia"/>
                <w:b/>
                <w:bCs/>
                <w:szCs w:val="21"/>
              </w:rPr>
              <w:t>第二十九条</w:t>
            </w:r>
            <w:r w:rsidRPr="005A6825">
              <w:rPr>
                <w:rFonts w:ascii="SimSun" w:eastAsia="SimSun" w:hAnsi="SimSun" w:hint="eastAsia"/>
                <w:szCs w:val="21"/>
              </w:rPr>
              <w:t xml:space="preserve"> 人民法院指派技术调查官参与庭前会议、开庭审理的，技术调查官可以就案件所涉技术问题询问当事人、诉讼代理人、有专门知识的人、证人、鉴定人、勘验人等。</w:t>
            </w:r>
          </w:p>
          <w:p w:rsidR="00E829C7" w:rsidRPr="00E829C7" w:rsidRDefault="00E829C7" w:rsidP="00E829C7">
            <w:pPr>
              <w:snapToGrid w:val="0"/>
              <w:spacing w:line="360" w:lineRule="auto"/>
              <w:ind w:firstLine="432"/>
              <w:rPr>
                <w:rFonts w:ascii="SimSun" w:hAnsi="SimSun"/>
                <w:szCs w:val="21"/>
              </w:rPr>
            </w:pPr>
          </w:p>
          <w:p w:rsidR="005A6825" w:rsidRDefault="005A6825" w:rsidP="00E829C7">
            <w:pPr>
              <w:snapToGrid w:val="0"/>
              <w:spacing w:line="360" w:lineRule="auto"/>
              <w:ind w:firstLine="420"/>
              <w:rPr>
                <w:rFonts w:ascii="SimSun" w:hAnsi="SimSun" w:hint="eastAsia"/>
                <w:szCs w:val="21"/>
              </w:rPr>
            </w:pPr>
            <w:r w:rsidRPr="005A6825">
              <w:rPr>
                <w:rFonts w:ascii="SimSun" w:eastAsia="SimSun" w:hAnsi="SimSun" w:hint="eastAsia"/>
                <w:b/>
                <w:bCs/>
                <w:szCs w:val="21"/>
              </w:rPr>
              <w:lastRenderedPageBreak/>
              <w:t xml:space="preserve">第三十条 </w:t>
            </w:r>
            <w:r w:rsidRPr="005A6825">
              <w:rPr>
                <w:rFonts w:ascii="SimSun" w:eastAsia="SimSun" w:hAnsi="SimSun" w:hint="eastAsia"/>
                <w:szCs w:val="21"/>
              </w:rPr>
              <w:t>当事人对公证文书提出异议，并提供相反证据足以推翻的，人民法院对该公证文书不予采纳。</w:t>
            </w:r>
          </w:p>
          <w:p w:rsidR="00E829C7" w:rsidRPr="00E829C7" w:rsidRDefault="00E829C7" w:rsidP="00E829C7">
            <w:pPr>
              <w:snapToGrid w:val="0"/>
              <w:spacing w:line="360" w:lineRule="auto"/>
              <w:ind w:firstLine="420"/>
              <w:rPr>
                <w:rFonts w:ascii="SimSun" w:hAnsi="SimSun"/>
                <w:szCs w:val="21"/>
              </w:rPr>
            </w:pPr>
          </w:p>
          <w:p w:rsidR="005A6825" w:rsidRDefault="005A6825" w:rsidP="00E829C7">
            <w:pPr>
              <w:snapToGrid w:val="0"/>
              <w:spacing w:line="360" w:lineRule="auto"/>
              <w:ind w:firstLine="444"/>
              <w:rPr>
                <w:rFonts w:ascii="SimSun" w:hAnsi="SimSun" w:hint="eastAsia"/>
                <w:szCs w:val="21"/>
              </w:rPr>
            </w:pPr>
            <w:r w:rsidRPr="005A6825">
              <w:rPr>
                <w:rFonts w:ascii="SimSun" w:eastAsia="SimSun" w:hAnsi="SimSun" w:hint="eastAsia"/>
                <w:szCs w:val="21"/>
              </w:rPr>
              <w:t>当事人对公证文书提出异议的理由成立的，人民法院可以要求公证机构出具说明或者补正，并结合其他相关证据对该公证文书进行审核认定。</w:t>
            </w:r>
          </w:p>
          <w:p w:rsidR="00E829C7" w:rsidRPr="00E829C7" w:rsidRDefault="00E829C7" w:rsidP="00E829C7">
            <w:pPr>
              <w:snapToGrid w:val="0"/>
              <w:spacing w:line="360" w:lineRule="auto"/>
              <w:ind w:firstLine="444"/>
              <w:rPr>
                <w:rFonts w:ascii="SimSun" w:hAnsi="SimSun"/>
                <w:szCs w:val="21"/>
              </w:rPr>
            </w:pPr>
          </w:p>
          <w:p w:rsidR="005A6825" w:rsidRDefault="005A6825" w:rsidP="00E829C7">
            <w:pPr>
              <w:snapToGrid w:val="0"/>
              <w:spacing w:line="360" w:lineRule="auto"/>
              <w:ind w:firstLine="456"/>
              <w:rPr>
                <w:rFonts w:ascii="SimSun" w:hAnsi="SimSun" w:hint="eastAsia"/>
                <w:szCs w:val="21"/>
              </w:rPr>
            </w:pPr>
            <w:r w:rsidRPr="005A6825">
              <w:rPr>
                <w:rFonts w:ascii="SimSun" w:eastAsia="SimSun" w:hAnsi="SimSun" w:hint="eastAsia"/>
                <w:b/>
                <w:bCs/>
                <w:szCs w:val="21"/>
              </w:rPr>
              <w:t>第三十一条</w:t>
            </w:r>
            <w:r w:rsidRPr="005A6825">
              <w:rPr>
                <w:rFonts w:ascii="SimSun" w:eastAsia="SimSun" w:hAnsi="SimSun" w:hint="eastAsia"/>
                <w:szCs w:val="21"/>
              </w:rPr>
              <w:t xml:space="preserve"> 当事人提供的财务账簿、会计凭证、销售合同、进出货单据、上市公司年报、招股说明书、网站或者宣传册等有关记载，设备系统存储的交易数据，第三方平台统计的商品流通数据，评估报告，知识产权许可使用合同以及市场监管、税务、金融部门的记录等，可以作为证据，用以证明当事人主张的侵害知识产权赔偿数额。</w:t>
            </w:r>
          </w:p>
          <w:p w:rsidR="00E829C7" w:rsidRPr="00E829C7" w:rsidRDefault="00E829C7" w:rsidP="00E829C7">
            <w:pPr>
              <w:snapToGrid w:val="0"/>
              <w:spacing w:line="360" w:lineRule="auto"/>
              <w:ind w:firstLine="456"/>
              <w:rPr>
                <w:rFonts w:ascii="SimSun" w:hAnsi="SimSun"/>
                <w:szCs w:val="21"/>
              </w:rPr>
            </w:pPr>
          </w:p>
          <w:p w:rsidR="005A6825" w:rsidRDefault="005A6825" w:rsidP="00E829C7">
            <w:pPr>
              <w:snapToGrid w:val="0"/>
              <w:spacing w:line="360" w:lineRule="auto"/>
              <w:ind w:firstLine="432"/>
              <w:rPr>
                <w:rFonts w:ascii="SimSun" w:hAnsi="SimSun" w:hint="eastAsia"/>
                <w:szCs w:val="21"/>
              </w:rPr>
            </w:pPr>
            <w:r w:rsidRPr="005A6825">
              <w:rPr>
                <w:rFonts w:ascii="SimSun" w:eastAsia="SimSun" w:hAnsi="SimSun" w:hint="eastAsia"/>
                <w:b/>
                <w:bCs/>
                <w:szCs w:val="21"/>
              </w:rPr>
              <w:t>第三十二条</w:t>
            </w:r>
            <w:r w:rsidRPr="005A6825">
              <w:rPr>
                <w:rFonts w:ascii="SimSun" w:eastAsia="SimSun" w:hAnsi="SimSun" w:hint="eastAsia"/>
                <w:szCs w:val="21"/>
              </w:rPr>
              <w:t xml:space="preserve"> 当事人主张参照知识产权许可使用费的合理倍数确定赔偿数额的，人民法院可以考量下列因素对许可使用费证据进行审核认定：</w:t>
            </w:r>
          </w:p>
          <w:p w:rsidR="00E829C7" w:rsidRPr="00E829C7" w:rsidRDefault="00E829C7" w:rsidP="00E829C7">
            <w:pPr>
              <w:snapToGrid w:val="0"/>
              <w:spacing w:line="360" w:lineRule="auto"/>
              <w:ind w:firstLine="432"/>
              <w:rPr>
                <w:rFonts w:ascii="SimSun" w:hAnsi="SimSun"/>
                <w:szCs w:val="21"/>
              </w:rPr>
            </w:pPr>
          </w:p>
          <w:p w:rsidR="005A6825" w:rsidRDefault="005A6825" w:rsidP="005A6825">
            <w:pPr>
              <w:snapToGrid w:val="0"/>
              <w:spacing w:line="360" w:lineRule="auto"/>
              <w:rPr>
                <w:rFonts w:ascii="SimSun" w:hAnsi="SimSun" w:hint="eastAsia"/>
                <w:szCs w:val="21"/>
                <w:lang w:eastAsia="ko-KR"/>
              </w:rPr>
            </w:pPr>
            <w:r w:rsidRPr="005A6825">
              <w:rPr>
                <w:rFonts w:ascii="SimSun" w:eastAsia="SimSun" w:hAnsi="SimSun" w:hint="eastAsia"/>
                <w:szCs w:val="21"/>
              </w:rPr>
              <w:t xml:space="preserve">　　（一）许可使用费是否实际支付及支付方式，许可使用合同是否实际履行或者备案；</w:t>
            </w:r>
          </w:p>
          <w:p w:rsidR="00E829C7" w:rsidRPr="00E829C7" w:rsidRDefault="00E829C7" w:rsidP="005A6825">
            <w:pPr>
              <w:snapToGrid w:val="0"/>
              <w:spacing w:line="360" w:lineRule="auto"/>
              <w:rPr>
                <w:rFonts w:ascii="SimSun" w:hAnsi="SimSun"/>
                <w:szCs w:val="21"/>
                <w:lang w:eastAsia="ko-KR"/>
              </w:rPr>
            </w:pPr>
          </w:p>
          <w:p w:rsidR="005A6825" w:rsidRDefault="005A6825" w:rsidP="00E829C7">
            <w:pPr>
              <w:snapToGrid w:val="0"/>
              <w:spacing w:line="360" w:lineRule="auto"/>
              <w:ind w:firstLine="480"/>
              <w:rPr>
                <w:rFonts w:ascii="SimSun" w:hAnsi="SimSun" w:hint="eastAsia"/>
                <w:szCs w:val="21"/>
              </w:rPr>
            </w:pPr>
            <w:r w:rsidRPr="005A6825">
              <w:rPr>
                <w:rFonts w:ascii="SimSun" w:eastAsia="SimSun" w:hAnsi="SimSun" w:hint="eastAsia"/>
                <w:szCs w:val="21"/>
              </w:rPr>
              <w:t>（二）许可使用的权利内容、方式、范围、期限；</w:t>
            </w:r>
          </w:p>
          <w:p w:rsidR="00E829C7" w:rsidRPr="00E829C7" w:rsidRDefault="00E829C7" w:rsidP="00E829C7">
            <w:pPr>
              <w:snapToGrid w:val="0"/>
              <w:spacing w:line="360" w:lineRule="auto"/>
              <w:ind w:firstLine="480"/>
              <w:rPr>
                <w:rFonts w:ascii="SimSun" w:hAnsi="SimSun"/>
                <w:szCs w:val="21"/>
              </w:rPr>
            </w:pPr>
          </w:p>
          <w:p w:rsidR="005A6825" w:rsidRPr="00E829C7" w:rsidRDefault="005A6825" w:rsidP="00E829C7">
            <w:pPr>
              <w:snapToGrid w:val="0"/>
              <w:spacing w:line="360" w:lineRule="auto"/>
              <w:ind w:firstLine="444"/>
              <w:rPr>
                <w:rFonts w:ascii="SimSun" w:hAnsi="SimSun" w:hint="eastAsia"/>
                <w:spacing w:val="-8"/>
                <w:w w:val="80"/>
                <w:szCs w:val="21"/>
              </w:rPr>
            </w:pPr>
            <w:r w:rsidRPr="005A6825">
              <w:rPr>
                <w:rFonts w:ascii="SimSun" w:eastAsia="SimSun" w:hAnsi="SimSun" w:hint="eastAsia"/>
                <w:szCs w:val="21"/>
              </w:rPr>
              <w:t>（三）</w:t>
            </w:r>
            <w:r w:rsidRPr="00E829C7">
              <w:rPr>
                <w:rFonts w:ascii="SimSun" w:eastAsia="SimSun" w:hAnsi="SimSun" w:hint="eastAsia"/>
                <w:spacing w:val="-8"/>
                <w:w w:val="80"/>
                <w:szCs w:val="21"/>
              </w:rPr>
              <w:t>被许可人与许可人是否存在利害关系；</w:t>
            </w:r>
          </w:p>
          <w:p w:rsidR="00E829C7" w:rsidRPr="00E829C7" w:rsidRDefault="00E829C7" w:rsidP="00E829C7">
            <w:pPr>
              <w:snapToGrid w:val="0"/>
              <w:spacing w:line="360" w:lineRule="auto"/>
              <w:ind w:firstLine="444"/>
              <w:rPr>
                <w:rFonts w:ascii="SimSun" w:hAnsi="SimSun"/>
                <w:szCs w:val="21"/>
              </w:rPr>
            </w:pPr>
          </w:p>
          <w:p w:rsidR="005A6825" w:rsidRDefault="005A6825" w:rsidP="00E829C7">
            <w:pPr>
              <w:snapToGrid w:val="0"/>
              <w:spacing w:line="360" w:lineRule="auto"/>
              <w:ind w:firstLine="420"/>
              <w:rPr>
                <w:rFonts w:ascii="SimSun" w:hAnsi="SimSun" w:hint="eastAsia"/>
                <w:szCs w:val="21"/>
              </w:rPr>
            </w:pPr>
            <w:r w:rsidRPr="005A6825">
              <w:rPr>
                <w:rFonts w:ascii="SimSun" w:eastAsia="SimSun" w:hAnsi="SimSun" w:hint="eastAsia"/>
                <w:szCs w:val="21"/>
              </w:rPr>
              <w:t>（四）行业许可的通常标准。</w:t>
            </w:r>
          </w:p>
          <w:p w:rsidR="00E829C7" w:rsidRPr="00E829C7" w:rsidRDefault="00E829C7" w:rsidP="00E829C7">
            <w:pPr>
              <w:snapToGrid w:val="0"/>
              <w:spacing w:line="360" w:lineRule="auto"/>
              <w:ind w:firstLine="420"/>
              <w:rPr>
                <w:rFonts w:ascii="SimSun" w:hAnsi="SimSun"/>
                <w:szCs w:val="21"/>
              </w:rPr>
            </w:pPr>
          </w:p>
          <w:p w:rsidR="00DB5008" w:rsidRPr="005A6825" w:rsidRDefault="005A6825" w:rsidP="00E829C7">
            <w:pPr>
              <w:snapToGrid w:val="0"/>
              <w:spacing w:line="360" w:lineRule="auto"/>
              <w:rPr>
                <w:spacing w:val="15"/>
                <w:szCs w:val="21"/>
              </w:rPr>
            </w:pPr>
            <w:r w:rsidRPr="005A6825">
              <w:rPr>
                <w:rFonts w:ascii="SimSun" w:eastAsia="SimSun" w:hAnsi="SimSun" w:hint="eastAsia"/>
                <w:szCs w:val="21"/>
              </w:rPr>
              <w:t xml:space="preserve">　　</w:t>
            </w:r>
            <w:r w:rsidRPr="005A6825">
              <w:rPr>
                <w:rFonts w:ascii="SimSun" w:eastAsia="SimSun" w:hAnsi="SimSun" w:hint="eastAsia"/>
                <w:b/>
                <w:bCs/>
                <w:szCs w:val="21"/>
              </w:rPr>
              <w:t>第三十三条</w:t>
            </w:r>
            <w:r w:rsidRPr="00E829C7">
              <w:rPr>
                <w:rFonts w:ascii="SimSun" w:eastAsia="SimSun" w:hAnsi="SimSun" w:hint="eastAsia"/>
                <w:spacing w:val="6"/>
                <w:szCs w:val="21"/>
              </w:rPr>
              <w:t xml:space="preserve"> 本规定自</w:t>
            </w:r>
            <w:r w:rsidRPr="00E829C7">
              <w:rPr>
                <w:rFonts w:ascii="SimSun" w:eastAsia="SimSun" w:hAnsi="SimSun"/>
                <w:spacing w:val="6"/>
                <w:szCs w:val="21"/>
              </w:rPr>
              <w:t>2020年11月18日起施行。本院以前发布的相关司法解释与本规定不一致的，以本规定为准。</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75" w:rsidRDefault="00D25875" w:rsidP="00C278F4">
      <w:r>
        <w:separator/>
      </w:r>
    </w:p>
  </w:endnote>
  <w:endnote w:type="continuationSeparator" w:id="0">
    <w:p w:rsidR="00D25875" w:rsidRDefault="00D2587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75" w:rsidRDefault="00D25875" w:rsidP="00C278F4">
      <w:r>
        <w:separator/>
      </w:r>
    </w:p>
  </w:footnote>
  <w:footnote w:type="continuationSeparator" w:id="0">
    <w:p w:rsidR="00D25875" w:rsidRDefault="00D2587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BE4"/>
    <w:multiLevelType w:val="hybridMultilevel"/>
    <w:tmpl w:val="C1CE73DE"/>
    <w:lvl w:ilvl="0" w:tplc="C0946C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8B16D2"/>
    <w:multiLevelType w:val="hybridMultilevel"/>
    <w:tmpl w:val="0FA6C13C"/>
    <w:lvl w:ilvl="0" w:tplc="D8BC4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0746926"/>
    <w:multiLevelType w:val="hybridMultilevel"/>
    <w:tmpl w:val="1DC8D3FE"/>
    <w:lvl w:ilvl="0" w:tplc="05142D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43FE5"/>
    <w:multiLevelType w:val="hybridMultilevel"/>
    <w:tmpl w:val="1D7A20F4"/>
    <w:lvl w:ilvl="0" w:tplc="8EE08A1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F4611D"/>
    <w:multiLevelType w:val="hybridMultilevel"/>
    <w:tmpl w:val="E068BB9E"/>
    <w:lvl w:ilvl="0" w:tplc="475E76F4">
      <w:start w:val="1"/>
      <w:numFmt w:val="decimal"/>
      <w:lvlText w:val="제%1조"/>
      <w:lvlJc w:val="left"/>
      <w:pPr>
        <w:ind w:left="420" w:hanging="420"/>
      </w:pPr>
      <w:rPr>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3">
    <w:nsid w:val="38276840"/>
    <w:multiLevelType w:val="hybridMultilevel"/>
    <w:tmpl w:val="B2748B44"/>
    <w:lvl w:ilvl="0" w:tplc="104CB69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nsid w:val="49481F75"/>
    <w:multiLevelType w:val="hybridMultilevel"/>
    <w:tmpl w:val="D13EB676"/>
    <w:lvl w:ilvl="0" w:tplc="715A246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50662B16"/>
    <w:multiLevelType w:val="hybridMultilevel"/>
    <w:tmpl w:val="95D4740A"/>
    <w:lvl w:ilvl="0" w:tplc="3F0ACED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2526A6"/>
    <w:multiLevelType w:val="hybridMultilevel"/>
    <w:tmpl w:val="D2B4F6D2"/>
    <w:lvl w:ilvl="0" w:tplc="1F6CF2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8"/>
  </w:num>
  <w:num w:numId="3">
    <w:abstractNumId w:val="2"/>
  </w:num>
  <w:num w:numId="4">
    <w:abstractNumId w:val="19"/>
  </w:num>
  <w:num w:numId="5">
    <w:abstractNumId w:val="6"/>
  </w:num>
  <w:num w:numId="6">
    <w:abstractNumId w:val="10"/>
  </w:num>
  <w:num w:numId="7">
    <w:abstractNumId w:val="22"/>
  </w:num>
  <w:num w:numId="8">
    <w:abstractNumId w:val="3"/>
  </w:num>
  <w:num w:numId="9">
    <w:abstractNumId w:val="21"/>
  </w:num>
  <w:num w:numId="10">
    <w:abstractNumId w:val="11"/>
  </w:num>
  <w:num w:numId="11">
    <w:abstractNumId w:val="18"/>
  </w:num>
  <w:num w:numId="12">
    <w:abstractNumId w:val="14"/>
  </w:num>
  <w:num w:numId="13">
    <w:abstractNumId w:val="24"/>
  </w:num>
  <w:num w:numId="14">
    <w:abstractNumId w:val="20"/>
  </w:num>
  <w:num w:numId="15">
    <w:abstractNumId w:val="12"/>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825"/>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25875"/>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829C7"/>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4594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B5DA9-CD24-4E6F-856F-79E59ED2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12</Pages>
  <Words>1640</Words>
  <Characters>9349</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2020-11-30T01:09:00Z</dcterms:modified>
</cp:coreProperties>
</file>