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AB" w:rsidRDefault="00631B31" w:rsidP="004E74AB">
      <w:pPr>
        <w:snapToGrid w:val="0"/>
        <w:spacing w:line="360" w:lineRule="auto"/>
        <w:jc w:val="center"/>
        <w:rPr>
          <w:rFonts w:asciiTheme="minorEastAsia" w:eastAsia="맑은 고딕" w:hAnsiTheme="minorEastAsia"/>
          <w:b/>
          <w:sz w:val="40"/>
          <w:szCs w:val="40"/>
        </w:rPr>
      </w:pPr>
      <w:r w:rsidRPr="004E74AB">
        <w:rPr>
          <w:rFonts w:asciiTheme="minorEastAsia" w:hAnsiTheme="minorEastAsia" w:hint="eastAsia"/>
          <w:b/>
          <w:sz w:val="40"/>
          <w:szCs w:val="40"/>
        </w:rPr>
        <w:t>自由贸易试验区外商投资准入特别管理措施</w:t>
      </w:r>
    </w:p>
    <w:p w:rsidR="00631B31" w:rsidRPr="004E74AB" w:rsidRDefault="00631B31" w:rsidP="004E74AB">
      <w:pPr>
        <w:snapToGrid w:val="0"/>
        <w:spacing w:line="360" w:lineRule="auto"/>
        <w:jc w:val="center"/>
        <w:rPr>
          <w:rFonts w:asciiTheme="minorEastAsia" w:eastAsia="맑은 고딕" w:hAnsiTheme="minorEastAsia"/>
          <w:b/>
          <w:sz w:val="40"/>
          <w:szCs w:val="40"/>
          <w:lang w:eastAsia="ko-KR"/>
        </w:rPr>
      </w:pPr>
      <w:r w:rsidRPr="004E74AB">
        <w:rPr>
          <w:rFonts w:asciiTheme="minorEastAsia" w:hAnsiTheme="minorEastAsia" w:hint="eastAsia"/>
          <w:b/>
          <w:sz w:val="40"/>
          <w:szCs w:val="40"/>
        </w:rPr>
        <w:t>（负面清单）（2017年版）</w:t>
      </w:r>
    </w:p>
    <w:p w:rsidR="004E74AB" w:rsidRPr="004E74AB" w:rsidRDefault="004E74AB" w:rsidP="004E74AB">
      <w:pPr>
        <w:widowControl/>
        <w:shd w:val="clear" w:color="auto" w:fill="FFFFFF"/>
        <w:spacing w:line="432" w:lineRule="atLeast"/>
        <w:jc w:val="center"/>
        <w:rPr>
          <w:rFonts w:ascii="SimSun" w:eastAsia="SimSun" w:hAnsi="SimSun" w:cs="SimSun"/>
          <w:color w:val="333333"/>
          <w:kern w:val="0"/>
          <w:sz w:val="24"/>
          <w:szCs w:val="24"/>
        </w:rPr>
      </w:pPr>
    </w:p>
    <w:tbl>
      <w:tblPr>
        <w:tblW w:w="9072" w:type="dxa"/>
        <w:jc w:val="center"/>
        <w:tblCellMar>
          <w:left w:w="0" w:type="dxa"/>
          <w:right w:w="0" w:type="dxa"/>
        </w:tblCellMar>
        <w:tblLook w:val="04A0"/>
      </w:tblPr>
      <w:tblGrid>
        <w:gridCol w:w="1523"/>
        <w:gridCol w:w="2126"/>
        <w:gridCol w:w="5423"/>
      </w:tblGrid>
      <w:tr w:rsidR="004E74AB" w:rsidRPr="004E74AB" w:rsidTr="004E74AB">
        <w:trPr>
          <w:jc w:val="center"/>
        </w:trPr>
        <w:tc>
          <w:tcPr>
            <w:tcW w:w="15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jc w:val="center"/>
              <w:rPr>
                <w:rFonts w:ascii="Calibri" w:eastAsia="SimSun" w:hAnsi="Calibri" w:cs="SimSun"/>
                <w:kern w:val="0"/>
                <w:szCs w:val="21"/>
              </w:rPr>
            </w:pPr>
            <w:r w:rsidRPr="004E74AB">
              <w:rPr>
                <w:rFonts w:ascii="SimSun" w:eastAsia="SimSun" w:hAnsi="SimSun" w:cs="SimSun" w:hint="eastAsia"/>
                <w:b/>
                <w:bCs/>
                <w:color w:val="000000"/>
                <w:kern w:val="0"/>
                <w:sz w:val="20"/>
                <w:szCs w:val="20"/>
              </w:rPr>
              <w:t>序号</w:t>
            </w:r>
          </w:p>
        </w:tc>
        <w:tc>
          <w:tcPr>
            <w:tcW w:w="21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jc w:val="center"/>
              <w:rPr>
                <w:rFonts w:ascii="Calibri" w:eastAsia="SimSun" w:hAnsi="Calibri" w:cs="SimSun"/>
                <w:kern w:val="0"/>
                <w:szCs w:val="21"/>
              </w:rPr>
            </w:pPr>
            <w:r w:rsidRPr="004E74AB">
              <w:rPr>
                <w:rFonts w:ascii="SimSun" w:eastAsia="SimSun" w:hAnsi="SimSun" w:cs="SimSun" w:hint="eastAsia"/>
                <w:b/>
                <w:bCs/>
                <w:color w:val="000000"/>
                <w:kern w:val="0"/>
                <w:sz w:val="20"/>
                <w:szCs w:val="20"/>
              </w:rPr>
              <w:t>领域</w:t>
            </w:r>
          </w:p>
        </w:tc>
        <w:tc>
          <w:tcPr>
            <w:tcW w:w="54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jc w:val="center"/>
              <w:rPr>
                <w:rFonts w:ascii="Calibri" w:eastAsia="SimSun" w:hAnsi="Calibri" w:cs="SimSun"/>
                <w:kern w:val="0"/>
                <w:szCs w:val="21"/>
              </w:rPr>
            </w:pPr>
            <w:r w:rsidRPr="004E74AB">
              <w:rPr>
                <w:rFonts w:ascii="SimSun" w:eastAsia="SimSun" w:hAnsi="SimSun" w:cs="SimSun" w:hint="eastAsia"/>
                <w:b/>
                <w:bCs/>
                <w:color w:val="000000"/>
                <w:kern w:val="0"/>
                <w:sz w:val="20"/>
                <w:szCs w:val="20"/>
              </w:rPr>
              <w:t>特别管理措施</w:t>
            </w:r>
          </w:p>
        </w:tc>
      </w:tr>
      <w:tr w:rsidR="004E74AB" w:rsidRPr="004E74AB"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jc w:val="left"/>
              <w:rPr>
                <w:rFonts w:ascii="Calibri" w:eastAsia="SimSun" w:hAnsi="Calibri" w:cs="SimSun"/>
                <w:kern w:val="0"/>
                <w:szCs w:val="21"/>
              </w:rPr>
            </w:pPr>
            <w:r w:rsidRPr="004E74AB">
              <w:rPr>
                <w:rFonts w:ascii="楷体" w:eastAsia="楷体" w:hAnsi="楷体" w:cs="SimSun" w:hint="eastAsia"/>
                <w:color w:val="000000"/>
                <w:kern w:val="0"/>
                <w:sz w:val="20"/>
                <w:szCs w:val="20"/>
              </w:rPr>
              <w:t>一、农、林、牧、渔业</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（一）</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种业</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1.禁止投资中国稀有和特有的珍贵优良品种的研发、养殖、种植以及相关繁殖材料的生产（包括种植业、畜牧业、水产业的优良基因）。</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2.禁止投资农作物、种畜禽、水产苗种转基因品种选育及其转基因种子（苗）生产。</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3.农作物新品种选育和种子生产须由中方控股。</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4.未经批准，禁止采集农作物种质资源。</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（二）</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渔业</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5.在中国境内及其管辖水域从事渔业活动，须经中国政府批准；不得注册登记中国籍渔业船舶。</w:t>
            </w:r>
          </w:p>
        </w:tc>
      </w:tr>
      <w:tr w:rsidR="004E74AB" w:rsidRPr="004E74AB"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楷体" w:eastAsia="楷体" w:hAnsi="楷体" w:cs="SimSun" w:hint="eastAsia"/>
                <w:color w:val="000000"/>
                <w:kern w:val="0"/>
                <w:sz w:val="20"/>
                <w:szCs w:val="20"/>
              </w:rPr>
              <w:t>二、采矿业</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（三）</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专属经济区、大陆架和其他管辖海域勘探开发</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6.对中国专属经济区、大陆架和其他管辖海域的勘查、钻探、开发活动，须经中国政府批准。</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（四）</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石油和天然气开采及开采辅助活动</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7.投资石油、天然气、煤层气的勘探、开发，须通过与中国政府批准的具有对外合作专营权的油气公司签署产品分成合同方式进行。</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（五）</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有色金属矿和非金属</w:t>
            </w:r>
            <w:r w:rsidRPr="004E74AB">
              <w:rPr>
                <w:rFonts w:ascii="SimSun" w:eastAsia="SimSun" w:hAnsi="SimSun" w:cs="SimSun" w:hint="eastAsia"/>
                <w:color w:val="000000"/>
                <w:kern w:val="0"/>
                <w:sz w:val="20"/>
                <w:szCs w:val="20"/>
              </w:rPr>
              <w:lastRenderedPageBreak/>
              <w:t>矿采选和开采辅助活动</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lastRenderedPageBreak/>
              <w:t>8.禁止投资稀土勘查、开采及选矿；未经允许，禁止进入稀</w:t>
            </w:r>
            <w:r w:rsidRPr="004E74AB">
              <w:rPr>
                <w:rFonts w:ascii="SimSun" w:eastAsia="SimSun" w:hAnsi="SimSun" w:cs="SimSun" w:hint="eastAsia"/>
                <w:color w:val="000000"/>
                <w:kern w:val="0"/>
                <w:sz w:val="20"/>
                <w:szCs w:val="20"/>
              </w:rPr>
              <w:lastRenderedPageBreak/>
              <w:t>土矿区或取得矿山地质资料、矿石样品及生产工艺技术。</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9.禁止投资钨、钼、锡、锑、萤石的勘查、开采。</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10.禁止投资放射性矿产的勘查、开采、选矿。</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lastRenderedPageBreak/>
              <w:t>（六）</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金属矿及非金属矿采选</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11.石墨的勘查、开采。</w:t>
            </w:r>
          </w:p>
        </w:tc>
      </w:tr>
      <w:tr w:rsidR="004E74AB" w:rsidRPr="004E74AB"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楷体" w:eastAsia="楷体" w:hAnsi="楷体" w:cs="SimSun" w:hint="eastAsia"/>
                <w:color w:val="000000"/>
                <w:kern w:val="0"/>
                <w:sz w:val="20"/>
                <w:szCs w:val="20"/>
              </w:rPr>
              <w:t>三、制造业</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（七）</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航空制造</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12.干线、支线飞机设计、制造与维修，须由中方控股；6吨9座（含）以上通用飞机设计、制造与维修，限于合资、合作；地面、水面效应飞机制造及无人机、浮空器设计与制造，须由中方控股。</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（八）</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船舶制造</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13.船舶（含分段）修理、设计与制造须由中方控股。</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（九）</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汽车制造</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14.汽车整车、专用汽车制造，中方股比不低于50%；同一家外商可在国内建立两家以下（含两家）生产同类（乘用车类、商用车类）整车产品的合资企业，如与中方合资伙伴联合兼并国内其他汽车生产企业可不受两家的限制。</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（十）</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通信设备制造</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15.卫星电视广播地面接收设施及关键件生产。</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（十一）</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有色金属冶炼和压延加工及放射性矿产冶炼、加工</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16.钨冶炼。</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17.稀土冶炼、分离限于合资、合作。</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18.禁止投资放射性矿产冶炼、加工。</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（十二）</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中药饮片加工及中成药生产</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19.禁止投资中药饮片的蒸、炒、炙、煅等炮制技术的应用及中成药保密处方产品的生产。</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（十三）</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核燃料及核辐射加工</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20.核燃料、核材料、铀产品以及相关核技术的生产经营和进出口由具有资质的中央企业实行专营。</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lastRenderedPageBreak/>
              <w:t>21.国有或国有控股企业才可从事放射性固体废物处置活动。</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lastRenderedPageBreak/>
              <w:t>（十四）</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其他制造业</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22.禁止投资象牙雕刻、虎骨加工、宣纸和墨锭生产等民族传统工艺。</w:t>
            </w:r>
          </w:p>
        </w:tc>
      </w:tr>
      <w:tr w:rsidR="004E74AB" w:rsidRPr="004E74AB"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楷体" w:eastAsia="楷体" w:hAnsi="楷体" w:cs="SimSun" w:hint="eastAsia"/>
                <w:color w:val="000000"/>
                <w:kern w:val="0"/>
                <w:sz w:val="20"/>
                <w:szCs w:val="20"/>
              </w:rPr>
              <w:t>四、电力、热力、燃气及水生产和供应业</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（十五）</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核力发电</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23.核电站的建设、经营须由中方控股。</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（十六）</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管网设施</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24.城市人口50万以上的城市燃气、热力和供排水管网的建设、经营须由中方控股。</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25.电网的建设、经营须由中方控股。</w:t>
            </w:r>
          </w:p>
        </w:tc>
      </w:tr>
      <w:tr w:rsidR="004E74AB" w:rsidRPr="004E74AB"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楷体" w:eastAsia="楷体" w:hAnsi="楷体" w:cs="SimSun" w:hint="eastAsia"/>
                <w:color w:val="000000"/>
                <w:kern w:val="0"/>
                <w:sz w:val="20"/>
                <w:szCs w:val="20"/>
              </w:rPr>
              <w:t>五、批发和零售业</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（十七）</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专营及特许经营</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26.禁止投资烟叶、卷烟、复烤烟叶及其他烟草制品的生产、批发、零售、进出口。</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27.对中央储备粮（油）实行专营制度。中国储备粮管理总公司具体负责中央储备粮（油）的收购、储存、经营和管理。</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28.对免税商品销售业务实行特许经营和集中统一管理。</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29.对彩票发行、销售实行特许经营，禁止在中华人民共和国境内发行、销售境外彩票。</w:t>
            </w:r>
          </w:p>
        </w:tc>
      </w:tr>
      <w:tr w:rsidR="004E74AB" w:rsidRPr="004E74AB"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楷体" w:eastAsia="楷体" w:hAnsi="楷体" w:cs="SimSun" w:hint="eastAsia"/>
                <w:color w:val="000000"/>
                <w:kern w:val="0"/>
                <w:sz w:val="20"/>
                <w:szCs w:val="20"/>
              </w:rPr>
              <w:t>六、交通运输、仓储和邮政业</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（十八）</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铁路运输</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30.铁路干线路网的建设、经营须由中方控股。</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31.铁路旅客运输公司须由中方控股。</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（十九）</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水上运输</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32.水上运输公司（上海自贸试验区内设立的国际船舶运输企业除外）须由中方控股，且不得经营或以租用中国籍船舶或者舱位等方式变相经营国内水路运输业务及其辅助业务（包括国内船舶管理、国内船舶代理、国内水路旅客运输代理和</w:t>
            </w:r>
            <w:r w:rsidRPr="004E74AB">
              <w:rPr>
                <w:rFonts w:ascii="SimSun" w:eastAsia="SimSun" w:hAnsi="SimSun" w:cs="SimSun" w:hint="eastAsia"/>
                <w:color w:val="000000"/>
                <w:kern w:val="0"/>
                <w:sz w:val="20"/>
                <w:szCs w:val="20"/>
              </w:rPr>
              <w:lastRenderedPageBreak/>
              <w:t>国内水路货物运输代理业务等）。</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33.水路运输经营者不得使用外国籍船舶经营国内水路运输业务，但经中国政府批准，在国内没有能够满足所申请运输要求的中国籍船舶，并且船舶停靠的港口或者水域为对外开放的港口或者水域的情况下，水路运输经营者可以在中国政府规定的期限或者航次内，临时使用外国籍船舶经营中国港口之间的海上运输和拖航。</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34.国际、国内船舶代理企业外资股比不超过51%。</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lastRenderedPageBreak/>
              <w:t>（二十）</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航空客货运输</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35.公共航空运输企业须由中方控股，单一外国投资者（包括其关联企业）投资比例不超过25%。企业法定代表人须由中国籍公民担任。只有中国公共航空运输企业才能经营国内航空服务（国内载运权），并作为中国指定承运人提供定期和不定期国际航空服务。</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（二十一）</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通用航空服务</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36.通用航空企业限于合资，除专门从事农、林、渔作业的通用航空企业以外，其他通用航空企业须由中方控股。企业法定代表人须由中国籍公民担任。外籍航空器或者外籍人员使用中国航空器在中国境内进行通用航空飞行活动须取得批准。</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（二十二）</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机场与空中交通管理</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37.禁止投资和经营空中交通管制系统。</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38.民用机场的建设、经营须由中方相对控股。</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（二十三）</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邮政业</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39.禁止投资邮政企业和经营邮政服务。</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40.禁止投资经营信件的国内快递业务。</w:t>
            </w:r>
          </w:p>
        </w:tc>
      </w:tr>
      <w:tr w:rsidR="004E74AB" w:rsidRPr="004E74AB"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楷体" w:eastAsia="楷体" w:hAnsi="楷体" w:cs="SimSun" w:hint="eastAsia"/>
                <w:color w:val="000000"/>
                <w:kern w:val="0"/>
                <w:sz w:val="20"/>
                <w:szCs w:val="20"/>
              </w:rPr>
              <w:t>七、信息传输、软件和信息技术服务业</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lastRenderedPageBreak/>
              <w:t>（二十四）</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电信</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41.电信公司限于从事中国入世承诺开放的电信业务，其中：增值电信业务（电子商务除外）外资比例不超过50%，基础电信业务经营者须为依法设立的专门从事基础电信业务的公司，且公司国有股权或股份不少于51%（上海自贸试验区原有区域〔28.8平方公里〕按既有政策执行）。</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（二十五）</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互联网和相关服务</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42.禁止投资互联网新闻信息服务、网络出版服务、网络视听节目服务、网络文化经营（音乐除外）、互联网公众发布信息服务（上述服务中，中国入世承诺中已开放的内容除外）。</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43.禁止从事互联网地图编制和出版活动（上述服务中，中国入世承诺中已开放的内容除外）。</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44.互联网新闻信息服务单位与外国投资者进行涉及互联网新闻信息服务业务的合作，应报经中国政府进行安全评估。</w:t>
            </w:r>
          </w:p>
        </w:tc>
      </w:tr>
      <w:tr w:rsidR="004E74AB" w:rsidRPr="004E74AB"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楷体" w:eastAsia="楷体" w:hAnsi="楷体" w:cs="SimSun" w:hint="eastAsia"/>
                <w:color w:val="000000"/>
                <w:kern w:val="0"/>
                <w:sz w:val="20"/>
                <w:szCs w:val="20"/>
              </w:rPr>
              <w:t>八、金融业</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（二十六）</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银行服务</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45.境外投资者投资银行业金融机构，应为金融机构或特定类型机构。具体要求：</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（1）外商独资银行股东、中外合资银行外方股东应为金融机构，且外方唯一或者控股/主要股东应为商业银行；</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（2）投资中资商业银行、信托公司的应为金融机构；</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（3）投资农村商业银行、农村合作银行、农村信用（合作）联社、村镇银行的应为境外银行；</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（4）投资金融租赁公司的应为金融机构或融资租赁公司；</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（5）消费金融公司的主要出资人应为金融机构；</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（6）投资货币经纪公司的应为货币经纪公司；</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lastRenderedPageBreak/>
              <w:t>（7）投资金融资产管理公司的应为金融机构，且不得参与发起设立金融资产管理公司；</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（8）法律法规未明确的应为金融机构。</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46.境外投资者投资银行业金融机构须符合一定数额的总资产要求，具体要求如下：</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（1）取得银行控股权益的外国投资者，以及投资中资商业银行、农村商业银行、农村合作银行、村镇银行、贷款公司和其他银行的外国投资者，提出申请前1年年末总资产应不少于100亿美元；</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（2）投资农村信用（合作）联社、信托公司的外国投资者，提出申请前1年年末总资产应不少于10亿美元；</w:t>
            </w:r>
            <w:r w:rsidRPr="004E74AB">
              <w:rPr>
                <w:rFonts w:ascii="SimSun" w:eastAsia="SimSun" w:hAnsi="SimSun" w:cs="SimSun" w:hint="eastAsia"/>
                <w:color w:val="000000"/>
                <w:kern w:val="0"/>
                <w:sz w:val="20"/>
                <w:szCs w:val="20"/>
              </w:rPr>
              <w:br/>
              <w:t>（3）拟设分行的外国银行，提出申请前1年年末总资产应不少于200亿美元；</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（4）在中国境外注册的具有独立法人资格的融资租赁公司作为金融租赁公司发起人，最近1年年末总资产应不低于100亿元人民币或等值的可自由兑换货币；</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（5）法律法规未明确不适用的其他银行业金融机构的境外投资者，提出申请前1年年末总资产应不少于10亿美元。</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47.境外投资者投资货币经纪公司须从事货币经纪业务20年以上，并具有从事货币经纪业务所必需的全球机构网络和资讯通信网络等特定条件。</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48.单个境外金融机构及被其控制或共同控制的关联方作为发起人或战略投资者向单个中资商业银行、农村商业银行、</w:t>
            </w:r>
            <w:r w:rsidRPr="004E74AB">
              <w:rPr>
                <w:rFonts w:ascii="SimSun" w:eastAsia="SimSun" w:hAnsi="SimSun" w:cs="SimSun" w:hint="eastAsia"/>
                <w:color w:val="000000"/>
                <w:kern w:val="0"/>
                <w:sz w:val="20"/>
                <w:szCs w:val="20"/>
              </w:rPr>
              <w:lastRenderedPageBreak/>
              <w:t>农村合作银行、农村信用（合作）联社、金融资产管理公司等银行业金融机构投资入股比例不得超过20%，多个境外金融机构及被其控制或共同控制的关联方作为发起人或战略投资者向单个中资商业银行、农村商业银行、农村合作银行、农村信用（合作）联社、金融资产管理公司等银行业金融机构投资入股比例合计不得超过25%。</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49.除符合股东机构类型要求和资质要求外，外资银行还受限于以下条件：</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外国银行分行不可从事《中华人民共和国商业银行法》允许经营的“代理收付款项”、“从事银行卡业务”，除可以吸收中国境内公民每笔不少于100万元人民币的定期存款外，外国银行分行不得经营对中国境内公民的人民币业务；</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（2）外国银行分行应当由总行无偿拨付不少于2亿元人民币或等值的自由兑换货币，营运资金的30%应以指定的生息资产形式存在，以定期存款形式存在的生息资产应当存放在中国境内3家或3家以下的中资银行；</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（3）外国银行分行营运资金加准备金等项之和中的人民币份额与其人民币风险资产的比例不可低于8%。</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lastRenderedPageBreak/>
              <w:t>（二十七）</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资本市场服务</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50.期货公司外资比例不超过49%。</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51.证券公司外资比例不超过49%。</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52.单个境外投资者持有（包括直接持有和间接控制）上市内资证券公司股份的比例不超过20%；全部境外投资者持有（包括直接持有和间接控制）上市内资证券公司股份的比例不超</w:t>
            </w:r>
            <w:r w:rsidRPr="004E74AB">
              <w:rPr>
                <w:rFonts w:ascii="SimSun" w:eastAsia="SimSun" w:hAnsi="SimSun" w:cs="SimSun" w:hint="eastAsia"/>
                <w:color w:val="000000"/>
                <w:kern w:val="0"/>
                <w:sz w:val="20"/>
                <w:szCs w:val="20"/>
              </w:rPr>
              <w:lastRenderedPageBreak/>
              <w:t>过25%。</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53.证券投资基金管理公司外资比例不超过49%。</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54.不得成为证券交易所的普通会员和期货交易所的会员。</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55.除中国政府另有规定的情况外，不得申请开立A股证券账户以及期货账户。</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lastRenderedPageBreak/>
              <w:t>（二十八）</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保险业</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56.寿险公司外资比例不超过50%；境内保险公司合计持有保险资产管理公司的股份不低于75%。</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57.向保险公司投资入股，全部外资股东出资或者持股比例占公司注册资本不足25%的，全部外资股东应为境外金融机构（通过证券交易所购买保险公司股票的除外），提出申请前1年年末总资产不少于20亿美元。</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 xml:space="preserve">　　申请设立外资保险公司的外国保险公司，应当具备下列条件：</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（1）经营保险业务30年以上；</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（2）在中国境内已经设立代表机构2年以上；</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（3）提出设立申请前1年年末总资产不少于50亿美元。</w:t>
            </w:r>
          </w:p>
        </w:tc>
      </w:tr>
      <w:tr w:rsidR="004E74AB" w:rsidRPr="004E74AB"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楷体" w:eastAsia="楷体" w:hAnsi="楷体" w:cs="SimSun" w:hint="eastAsia"/>
                <w:color w:val="000000"/>
                <w:kern w:val="0"/>
                <w:sz w:val="20"/>
                <w:szCs w:val="20"/>
              </w:rPr>
              <w:t>九、租赁和商务服务业</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（二十九）</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法律服务</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58.外国律师事务所只能以代表机构的方式进入中国，在华设立代表机构、派驻代表，须经中国司法行政部门许可。</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59.禁止从事中国法律事务，不得成为国内律师事务所合伙人。</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60.外国律师事务所驻华代表机构不得聘用中国执业律师，聘用的辅助人员不得为当事人提供法律服务。</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lastRenderedPageBreak/>
              <w:t>（三十）</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咨询与调查</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61.禁止投资社会调查。</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62.市场调查限于合资、合作，其中广播电视收听、收视调查须由中方控股。</w:t>
            </w:r>
          </w:p>
        </w:tc>
      </w:tr>
      <w:tr w:rsidR="004E74AB" w:rsidRPr="004E74AB"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楷体" w:eastAsia="楷体" w:hAnsi="楷体" w:cs="SimSun" w:hint="eastAsia"/>
                <w:color w:val="000000"/>
                <w:kern w:val="0"/>
                <w:sz w:val="20"/>
                <w:szCs w:val="20"/>
              </w:rPr>
              <w:t>十、科学研究和专业技术服务</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（三十一）</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专业技术服务</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63.禁止投资大地测量、海洋测绘、测绘航空摄影、行政区域界线测绘，地形图、世界政区地图、全国政区地图、省级及以下政区地图、全国性教学地图、地方性教学地图和真三维地图编制，导航电子地图编制，区域性的地质填图、矿产地质、地球物理、地球化学、水文地质、环境地质、地质灾害、遥感地质等调查。</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64.测绘公司须由中方控股。</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65.禁止投资人体干细胞、基因诊断与治疗技术的开发和应用。</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66.禁止设立和运营人文社会科学研究机构。</w:t>
            </w:r>
          </w:p>
        </w:tc>
      </w:tr>
      <w:tr w:rsidR="004E74AB" w:rsidRPr="004E74AB"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楷体" w:eastAsia="楷体" w:hAnsi="楷体" w:cs="SimSun" w:hint="eastAsia"/>
                <w:color w:val="000000"/>
                <w:kern w:val="0"/>
                <w:sz w:val="20"/>
                <w:szCs w:val="20"/>
              </w:rPr>
              <w:t>十一、水利、环境和公共设施管理业</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（三十二）</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野生动植物资源保护</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67.禁止投资国家保护的原产于中国的野生动植物资源开发。</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68.禁止采集或收购国家重点保护野生动植物和微生物资源。</w:t>
            </w:r>
          </w:p>
        </w:tc>
      </w:tr>
      <w:tr w:rsidR="004E74AB" w:rsidRPr="004E74AB"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楷体" w:eastAsia="楷体" w:hAnsi="楷体" w:cs="SimSun" w:hint="eastAsia"/>
                <w:color w:val="000000"/>
                <w:kern w:val="0"/>
                <w:sz w:val="20"/>
                <w:szCs w:val="20"/>
              </w:rPr>
              <w:t>十二、教育</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（三十三）</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教育</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69.外国教育机构、其他组织或者个人不得单独设立以中国公民为主要招生对象的学校及其他教育机构（不包括非学制类职业技能培训）。</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70.外国教育机构可以同中国教育机构合作举办以中国公民为主要招生对象的教育机构，中外合作办学者可以合作举办</w:t>
            </w:r>
            <w:r w:rsidRPr="004E74AB">
              <w:rPr>
                <w:rFonts w:ascii="SimSun" w:eastAsia="SimSun" w:hAnsi="SimSun" w:cs="SimSun" w:hint="eastAsia"/>
                <w:color w:val="000000"/>
                <w:kern w:val="0"/>
                <w:sz w:val="20"/>
                <w:szCs w:val="20"/>
              </w:rPr>
              <w:lastRenderedPageBreak/>
              <w:t>各级各类教育机构，但是：</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（1）不得举办实施义务教育机构；</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（2）外国宗教组织、宗教机构、宗教院校和宗教教职人员不得在中国境内从事合作办学活动，中外合作办学机构不得进行宗教教育和开展宗教活动；不得在中国境内投资宗教教育机构；</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3）普通高中教育机构、高等教育机构和学前教育须由中方主导（校长或者主要行政负责人应当具有中国国籍，在中国境内定居；理事会、董事会或者联合管理委员会的中方组成人员不得少于1/2；教育教学活动和课程教材须遵守我国相关法律法规及有关规定）。</w:t>
            </w:r>
          </w:p>
        </w:tc>
      </w:tr>
      <w:tr w:rsidR="004E74AB" w:rsidRPr="004E74AB"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楷体" w:eastAsia="楷体" w:hAnsi="楷体" w:cs="SimSun" w:hint="eastAsia"/>
                <w:color w:val="000000"/>
                <w:kern w:val="0"/>
                <w:sz w:val="20"/>
                <w:szCs w:val="20"/>
              </w:rPr>
              <w:lastRenderedPageBreak/>
              <w:t>十三、卫生和社会工作</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（三十四）</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卫生</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71.医疗机构限于合资、合作。</w:t>
            </w:r>
          </w:p>
        </w:tc>
      </w:tr>
      <w:tr w:rsidR="004E74AB" w:rsidRPr="004E74AB"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楷体" w:eastAsia="楷体" w:hAnsi="楷体" w:cs="SimSun" w:hint="eastAsia"/>
                <w:color w:val="000000"/>
                <w:kern w:val="0"/>
                <w:sz w:val="20"/>
                <w:szCs w:val="20"/>
              </w:rPr>
              <w:t>十四、文化、体育和娱乐业</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（三十五）</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广播电视播出、传输、制作、经营</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72.禁止投资设立和经营各级广播电台（站）、电视台（站）、广播电视频率频道和时段栏目、广播电视传输覆盖网（广播电视发射台、转播台〔包括差转台、收转台〕、广播电视卫星、卫星上行站、卫星收转站、微波站、监测台〔站〕及有线广播电视传输覆盖网等），禁止从事广播电视视频点播业务和卫星电视广播地面接收设施安装服务。</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73.禁止投资广播电视节目制作经营公司。</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74.对境外卫星频道落地实行审批制度。禁止投资电影及广播电视节目的引进业务，引进境外影视剧和以卫星传送方式引</w:t>
            </w:r>
            <w:r w:rsidRPr="004E74AB">
              <w:rPr>
                <w:rFonts w:ascii="SimSun" w:eastAsia="SimSun" w:hAnsi="SimSun" w:cs="SimSun" w:hint="eastAsia"/>
                <w:color w:val="000000"/>
                <w:kern w:val="0"/>
                <w:sz w:val="20"/>
                <w:szCs w:val="20"/>
              </w:rPr>
              <w:lastRenderedPageBreak/>
              <w:t>进其他境外电视节目由新闻出版广电总局指定的单位申报。</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75.对中外合作制作电视剧（含电视动画片）实行许可制度。</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lastRenderedPageBreak/>
              <w:t>（三十六）</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新闻出版、广播影视、金融信息</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76.禁止投资设立通讯社、报刊社、出版社以及新闻机构。</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77.外国新闻机构在中国境内设立常驻新闻机构、向中国派遣常驻记者，须经中国政府批准。</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78.外国通讯社在中国境内提供新闻的服务业务须由中国政府审批。</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79.禁止投资经营图书、报纸、期刊、音像制品和电子出版物的编辑、出版、制作业务；禁止经营报刊版面。但经中国政府批准，在确保合作中方的经营主导权和内容终审权并遵守中国政府批复的其他条件下，中外出版单位可进行新闻出版中外合作项目。</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80.中外新闻机构业务合作须中方主导，且须经中国政府批准。</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81.出版物印刷须由中方控股。</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82.未经中国政府批准，禁止在中国境内提供金融信息服务。</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83.境外传媒（包括外国和港澳台地区报社、期刊社、图书出版社、音像出版社、电子出版物出版公司以及广播、电影、电视等大众传播机构）不得在中国境内设立代理机构或编辑部。未经中国政府批准，不得设立办事机构，办事机构仅可从事联络、沟通、咨询、接待服务。</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（三十七）</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电影制作、发行、放映</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84.禁止投资电影制作公司、发行公司、院线公司，但经批准，允许中外企业合作摄制电影。</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lastRenderedPageBreak/>
              <w:t>85.电影院的建设、经营须由中方控股。放映电影片，应当符合中国政府规定的国产电影片与进口电影片放映的时间比例。放映单位年放映国产电影片的时间不得低于年放映电影片时间总和的2/3。</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lastRenderedPageBreak/>
              <w:t>（三十八）</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文物及非物质文化遗产保护</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86.禁止投资和经营文物拍卖的拍卖企业、文物购销企业。</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87.禁止投资和运营国有文物博物馆。</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88.禁止不可移动文物及国家禁止出境的文物转让、抵押、出租给外国人。</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89.禁止设立与经营非物质文化遗产调查机构。</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90.境外组织或个人在中国境内进行非物质文化遗产调查和考古调查、勘探、发掘，应采取与中国合作的形式并经专门审批许可。</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（三十九）</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文化娱乐</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91.禁止设立文艺表演团体。</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92.演出经纪机构须由中方控股（为设有自贸试验区的省市提供服务的除外）。</w:t>
            </w:r>
          </w:p>
        </w:tc>
      </w:tr>
      <w:tr w:rsidR="004E74AB" w:rsidRPr="004E74AB" w:rsidTr="004E74AB">
        <w:trPr>
          <w:jc w:val="center"/>
        </w:trPr>
        <w:tc>
          <w:tcPr>
            <w:tcW w:w="907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楷体" w:eastAsia="楷体" w:hAnsi="楷体" w:cs="SimSun" w:hint="eastAsia"/>
                <w:color w:val="000000"/>
                <w:kern w:val="0"/>
                <w:sz w:val="20"/>
                <w:szCs w:val="20"/>
              </w:rPr>
              <w:t>十五、所有行业</w:t>
            </w:r>
          </w:p>
        </w:tc>
      </w:tr>
      <w:tr w:rsidR="004E74AB" w:rsidRPr="004E74AB" w:rsidTr="004E74AB">
        <w:trPr>
          <w:jc w:val="center"/>
        </w:trPr>
        <w:tc>
          <w:tcPr>
            <w:tcW w:w="152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（四十）</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所有行业</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93.不得作为个体工商户、个人独资企业投资人、农民专业合作社成员，从事经营活动。</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94.《外商投资产业指导目录》中的禁止类以及标注有“限于合资”、“限于合作”、“限于合资、合作”、“中方控股”、“中方相对控股”和有外资比例要求的项目，不得设立外商投资合伙企业。</w:t>
            </w:r>
          </w:p>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95.境内公司、企业或自然人以其在境外合法设立或控制的公</w:t>
            </w:r>
            <w:r w:rsidRPr="004E74AB">
              <w:rPr>
                <w:rFonts w:ascii="SimSun" w:eastAsia="SimSun" w:hAnsi="SimSun" w:cs="SimSun" w:hint="eastAsia"/>
                <w:color w:val="000000"/>
                <w:kern w:val="0"/>
                <w:sz w:val="20"/>
                <w:szCs w:val="20"/>
              </w:rPr>
              <w:lastRenderedPageBreak/>
              <w:t>司并购与其有关联关系的境内公司，涉及外商投资项目和企业设立及变更事项的，按现行规定办理。</w:t>
            </w:r>
          </w:p>
        </w:tc>
      </w:tr>
    </w:tbl>
    <w:p w:rsidR="004E74AB" w:rsidRDefault="004E74AB" w:rsidP="004E74AB">
      <w:pPr>
        <w:widowControl/>
        <w:shd w:val="clear" w:color="auto" w:fill="FFFFFF"/>
        <w:spacing w:line="586" w:lineRule="atLeast"/>
        <w:jc w:val="center"/>
        <w:rPr>
          <w:rFonts w:ascii="SimSun" w:eastAsia="맑은 고딕" w:hAnsi="SimSun" w:cs="SimSun"/>
          <w:color w:val="000000"/>
          <w:kern w:val="0"/>
          <w:sz w:val="20"/>
          <w:szCs w:val="20"/>
        </w:rPr>
      </w:pPr>
    </w:p>
    <w:p w:rsidR="004E74AB" w:rsidRPr="004E74AB" w:rsidRDefault="004E74AB" w:rsidP="004E74AB">
      <w:pPr>
        <w:widowControl/>
        <w:shd w:val="clear" w:color="auto" w:fill="FFFFFF"/>
        <w:spacing w:line="586" w:lineRule="atLeast"/>
        <w:jc w:val="center"/>
        <w:rPr>
          <w:rFonts w:ascii="Calibri" w:eastAsia="SimSun" w:hAnsi="Calibri" w:cs="SimSun"/>
          <w:color w:val="333333"/>
          <w:kern w:val="0"/>
          <w:szCs w:val="21"/>
        </w:rPr>
      </w:pPr>
      <w:r w:rsidRPr="004E74AB">
        <w:rPr>
          <w:rFonts w:ascii="SimSun" w:eastAsia="SimSun" w:hAnsi="SimSun" w:cs="SimSun" w:hint="eastAsia"/>
          <w:color w:val="000000"/>
          <w:kern w:val="0"/>
          <w:sz w:val="20"/>
          <w:szCs w:val="20"/>
        </w:rPr>
        <w:t> </w:t>
      </w:r>
    </w:p>
    <w:p w:rsidR="004E74AB" w:rsidRDefault="004E74AB" w:rsidP="004E74AB">
      <w:pPr>
        <w:snapToGrid w:val="0"/>
        <w:spacing w:line="360" w:lineRule="auto"/>
        <w:jc w:val="center"/>
        <w:rPr>
          <w:rFonts w:asciiTheme="minorEastAsia" w:eastAsia="맑은 고딕" w:hAnsiTheme="minorEastAsia"/>
          <w:b/>
          <w:sz w:val="40"/>
          <w:szCs w:val="40"/>
        </w:rPr>
      </w:pPr>
      <w:r w:rsidRPr="004E74AB">
        <w:rPr>
          <w:rFonts w:asciiTheme="minorEastAsia" w:hAnsiTheme="minorEastAsia" w:hint="eastAsia"/>
          <w:b/>
          <w:sz w:val="40"/>
          <w:szCs w:val="40"/>
        </w:rPr>
        <w:t>自由贸易试验区外商投资准入特别管理措施</w:t>
      </w:r>
    </w:p>
    <w:p w:rsidR="004E74AB" w:rsidRPr="004E74AB" w:rsidRDefault="004E74AB" w:rsidP="004E74AB">
      <w:pPr>
        <w:snapToGrid w:val="0"/>
        <w:spacing w:line="360" w:lineRule="auto"/>
        <w:jc w:val="center"/>
        <w:rPr>
          <w:rFonts w:asciiTheme="minorEastAsia" w:hAnsiTheme="minorEastAsia"/>
          <w:b/>
          <w:sz w:val="40"/>
          <w:szCs w:val="40"/>
        </w:rPr>
      </w:pPr>
      <w:r w:rsidRPr="004E74AB">
        <w:rPr>
          <w:rFonts w:asciiTheme="minorEastAsia" w:hAnsiTheme="minorEastAsia" w:hint="eastAsia"/>
          <w:b/>
          <w:sz w:val="40"/>
          <w:szCs w:val="40"/>
        </w:rPr>
        <w:t>（负面清单）（2017年版）</w:t>
      </w:r>
    </w:p>
    <w:p w:rsidR="004E74AB" w:rsidRPr="004E74AB" w:rsidRDefault="004E74AB" w:rsidP="004E74AB">
      <w:pPr>
        <w:snapToGrid w:val="0"/>
        <w:spacing w:line="360" w:lineRule="auto"/>
        <w:jc w:val="center"/>
        <w:rPr>
          <w:rFonts w:asciiTheme="minorEastAsia" w:eastAsia="맑은 고딕" w:hAnsiTheme="minorEastAsia"/>
          <w:b/>
          <w:sz w:val="40"/>
          <w:szCs w:val="40"/>
        </w:rPr>
      </w:pPr>
      <w:r w:rsidRPr="004E74AB">
        <w:rPr>
          <w:rFonts w:asciiTheme="minorEastAsia" w:hAnsiTheme="minorEastAsia" w:hint="eastAsia"/>
          <w:b/>
          <w:sz w:val="40"/>
          <w:szCs w:val="40"/>
        </w:rPr>
        <w:t>比上一版减少的措施</w:t>
      </w:r>
      <w:r w:rsidRPr="004E74AB">
        <w:rPr>
          <w:rFonts w:ascii="SimSun" w:eastAsia="SimSun" w:hAnsi="SimSun" w:cs="SimSun" w:hint="eastAsia"/>
          <w:color w:val="000000"/>
          <w:kern w:val="0"/>
          <w:sz w:val="20"/>
          <w:szCs w:val="20"/>
        </w:rPr>
        <w:t> </w:t>
      </w:r>
    </w:p>
    <w:tbl>
      <w:tblPr>
        <w:tblW w:w="9072" w:type="dxa"/>
        <w:jc w:val="center"/>
        <w:tblCellMar>
          <w:left w:w="0" w:type="dxa"/>
          <w:right w:w="0" w:type="dxa"/>
        </w:tblCellMar>
        <w:tblLook w:val="04A0"/>
      </w:tblPr>
      <w:tblGrid>
        <w:gridCol w:w="1376"/>
        <w:gridCol w:w="2273"/>
        <w:gridCol w:w="5423"/>
      </w:tblGrid>
      <w:tr w:rsidR="004E74AB" w:rsidRPr="004E74AB" w:rsidTr="004E74AB">
        <w:trPr>
          <w:jc w:val="center"/>
        </w:trPr>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jc w:val="center"/>
              <w:rPr>
                <w:rFonts w:ascii="Calibri" w:eastAsia="SimSun" w:hAnsi="Calibri" w:cs="SimSun"/>
                <w:kern w:val="0"/>
                <w:szCs w:val="21"/>
              </w:rPr>
            </w:pPr>
            <w:r w:rsidRPr="004E74AB">
              <w:rPr>
                <w:rFonts w:ascii="SimSun" w:eastAsia="SimSun" w:hAnsi="SimSun" w:cs="SimSun" w:hint="eastAsia"/>
                <w:b/>
                <w:bCs/>
                <w:color w:val="000000"/>
                <w:kern w:val="0"/>
                <w:sz w:val="20"/>
                <w:szCs w:val="20"/>
              </w:rPr>
              <w:t>大类</w:t>
            </w:r>
          </w:p>
        </w:tc>
        <w:tc>
          <w:tcPr>
            <w:tcW w:w="227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jc w:val="center"/>
              <w:rPr>
                <w:rFonts w:ascii="Calibri" w:eastAsia="SimSun" w:hAnsi="Calibri" w:cs="SimSun"/>
                <w:kern w:val="0"/>
                <w:szCs w:val="21"/>
              </w:rPr>
            </w:pPr>
            <w:r w:rsidRPr="004E74AB">
              <w:rPr>
                <w:rFonts w:ascii="SimSun" w:eastAsia="SimSun" w:hAnsi="SimSun" w:cs="SimSun" w:hint="eastAsia"/>
                <w:b/>
                <w:bCs/>
                <w:color w:val="000000"/>
                <w:kern w:val="0"/>
                <w:sz w:val="20"/>
                <w:szCs w:val="20"/>
              </w:rPr>
              <w:t>领域</w:t>
            </w:r>
          </w:p>
        </w:tc>
        <w:tc>
          <w:tcPr>
            <w:tcW w:w="54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jc w:val="center"/>
              <w:rPr>
                <w:rFonts w:ascii="Calibri" w:eastAsia="SimSun" w:hAnsi="Calibri" w:cs="SimSun"/>
                <w:kern w:val="0"/>
                <w:szCs w:val="21"/>
              </w:rPr>
            </w:pPr>
            <w:r w:rsidRPr="004E74AB">
              <w:rPr>
                <w:rFonts w:ascii="SimSun" w:eastAsia="SimSun" w:hAnsi="SimSun" w:cs="SimSun" w:hint="eastAsia"/>
                <w:b/>
                <w:bCs/>
                <w:color w:val="000000"/>
                <w:kern w:val="0"/>
                <w:sz w:val="20"/>
                <w:szCs w:val="20"/>
              </w:rPr>
              <w:t>比上一版减少的特别管理措施</w:t>
            </w:r>
          </w:p>
        </w:tc>
      </w:tr>
      <w:tr w:rsidR="004E74AB" w:rsidRPr="004E74AB" w:rsidTr="004E74AB">
        <w:trPr>
          <w:jc w:val="center"/>
        </w:trPr>
        <w:tc>
          <w:tcPr>
            <w:tcW w:w="1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采矿业</w:t>
            </w:r>
          </w:p>
        </w:tc>
        <w:tc>
          <w:tcPr>
            <w:tcW w:w="22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金属矿及非金属矿采选</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1.贵金属（金、银、铂族）勘查、开采，属于限制类。</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0" w:type="auto"/>
            <w:vMerge/>
            <w:tcBorders>
              <w:top w:val="nil"/>
              <w:left w:val="nil"/>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2.锂矿开采、选矿，属于限制类。</w:t>
            </w:r>
          </w:p>
        </w:tc>
      </w:tr>
      <w:tr w:rsidR="004E74AB" w:rsidRPr="004E74AB" w:rsidTr="004E74AB">
        <w:trPr>
          <w:jc w:val="center"/>
        </w:trPr>
        <w:tc>
          <w:tcPr>
            <w:tcW w:w="1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制造业</w:t>
            </w:r>
          </w:p>
        </w:tc>
        <w:tc>
          <w:tcPr>
            <w:tcW w:w="22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航空制造</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3. 3吨级及以上民用直升机设计与制造需中方控股。</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0" w:type="auto"/>
            <w:vMerge/>
            <w:tcBorders>
              <w:top w:val="nil"/>
              <w:left w:val="nil"/>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jc w:val="left"/>
              <w:rPr>
                <w:rFonts w:ascii="Calibri" w:eastAsia="SimSun" w:hAnsi="Calibri" w:cs="SimSun"/>
                <w:kern w:val="0"/>
                <w:szCs w:val="21"/>
              </w:rPr>
            </w:pPr>
            <w:r w:rsidRPr="004E74AB">
              <w:rPr>
                <w:rFonts w:ascii="SimSun" w:eastAsia="SimSun" w:hAnsi="SimSun" w:cs="SimSun" w:hint="eastAsia"/>
                <w:color w:val="000000"/>
                <w:kern w:val="0"/>
                <w:sz w:val="20"/>
                <w:szCs w:val="20"/>
              </w:rPr>
              <w:t>4. 6吨9座以下通用飞机设计、制造与维修限于合资、合作。</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22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船舶制造</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5.船用低、中速柴油机及曲轴制造，须由中方控股。</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0" w:type="auto"/>
            <w:vMerge/>
            <w:tcBorders>
              <w:top w:val="nil"/>
              <w:left w:val="nil"/>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6.海洋工程装备（含模块）制造与修理，须由中方控股。</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汽车制造</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7.新建纯电动乘用车生产企业生产的产品须使用自有品牌，拥有自主知识产权和已授权的相关发明专利。</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22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轨道交通设备制造</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8.轨道交通运输设备制造限于合资、合作（与高速铁路、铁路客运专线、城际铁路配套的乘客服务设施和设备的研发、设计与制造，与高速铁路、铁路客运专线、城际铁路相关的轨道和桥梁设备研发、设计与制造，电气化铁路设备和器材制造，铁路客车排污设备制造等除外）。</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0" w:type="auto"/>
            <w:vMerge/>
            <w:tcBorders>
              <w:top w:val="nil"/>
              <w:left w:val="nil"/>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9.城市轨道交通项目设备国产化比例须达到70%及以上。</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通信设备制造</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10.民用卫星设计与制造、民用卫星有效载荷制造须由中方控股。</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矿产冶炼和压延加工</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11.钼、锡（锡化合物除外）、锑（含氧化锑和硫化锑）等稀有金属冶炼属于限制类。</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医药制造</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12.禁止投资列入《野生药材资源保护管理条例》和《中国稀有濒危保护植物名录》的中药材加工。</w:t>
            </w:r>
          </w:p>
        </w:tc>
      </w:tr>
      <w:tr w:rsidR="004E74AB" w:rsidRPr="004E74AB" w:rsidTr="004E74AB">
        <w:trPr>
          <w:jc w:val="center"/>
        </w:trPr>
        <w:tc>
          <w:tcPr>
            <w:tcW w:w="1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交通运输业</w:t>
            </w: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道路运输</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13.公路旅客运输公司属于限制类。</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水上运输</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14.外轮理货属于限制类，限于合资、合作。</w:t>
            </w:r>
          </w:p>
        </w:tc>
      </w:tr>
      <w:tr w:rsidR="004E74AB" w:rsidRPr="004E74AB" w:rsidTr="004E74AB">
        <w:trPr>
          <w:jc w:val="center"/>
        </w:trPr>
        <w:tc>
          <w:tcPr>
            <w:tcW w:w="1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信息技术服务业</w:t>
            </w: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互联网和相关服务</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15.禁止投资互联网上网服务营业场所。</w:t>
            </w:r>
          </w:p>
        </w:tc>
      </w:tr>
      <w:tr w:rsidR="004E74AB" w:rsidRPr="004E74AB" w:rsidTr="004E74AB">
        <w:trPr>
          <w:jc w:val="center"/>
        </w:trPr>
        <w:tc>
          <w:tcPr>
            <w:tcW w:w="1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金融业</w:t>
            </w:r>
          </w:p>
        </w:tc>
        <w:tc>
          <w:tcPr>
            <w:tcW w:w="22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银行服务</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16.外国银行分行不可从事《中华人民共和国商业银行法》允许经营的“代理发行、代理兑付、承销政府债券”。</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0" w:type="auto"/>
            <w:vMerge/>
            <w:tcBorders>
              <w:top w:val="nil"/>
              <w:left w:val="nil"/>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17.外资银行获准经营人民币业务须满足最低开业时间要求。</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0" w:type="auto"/>
            <w:vMerge/>
            <w:tcBorders>
              <w:top w:val="nil"/>
              <w:left w:val="nil"/>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18.境外投资者投资金融资产管理公司须符合一定数额的总资产要求。</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保险业务</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19.非经中国保险监管部门批准，外资保险公司不得与其关联企业从事再保险的分出或者分入业务。</w:t>
            </w:r>
          </w:p>
        </w:tc>
      </w:tr>
      <w:tr w:rsidR="004E74AB" w:rsidRPr="004E74AB" w:rsidTr="004E74AB">
        <w:trPr>
          <w:jc w:val="center"/>
        </w:trPr>
        <w:tc>
          <w:tcPr>
            <w:tcW w:w="1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租赁和商务服务业</w:t>
            </w: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会计审计</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20.担任特殊普通合伙会计师事务所首席合伙人（或履行最高管理职责的其他职务），须具有中国国籍。</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22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统计调查</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21.实行涉外调查机构资格认定制度和涉外社会调查项目审批制度。</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0" w:type="auto"/>
            <w:vMerge/>
            <w:tcBorders>
              <w:top w:val="nil"/>
              <w:left w:val="nil"/>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22.评级服务属于限制类。</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其他商务服务</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23.因私出入境中介机构法定代表人须为具有境内常住户口、</w:t>
            </w:r>
            <w:r w:rsidRPr="004E74AB">
              <w:rPr>
                <w:rFonts w:ascii="SimSun" w:eastAsia="SimSun" w:hAnsi="SimSun" w:cs="SimSun" w:hint="eastAsia"/>
                <w:color w:val="000000"/>
                <w:kern w:val="0"/>
                <w:sz w:val="20"/>
                <w:szCs w:val="20"/>
              </w:rPr>
              <w:lastRenderedPageBreak/>
              <w:t>具有完全民事行为能力的中国公民。</w:t>
            </w:r>
          </w:p>
        </w:tc>
      </w:tr>
      <w:tr w:rsidR="004E74AB" w:rsidRPr="004E74AB" w:rsidTr="004E74AB">
        <w:trPr>
          <w:jc w:val="center"/>
        </w:trPr>
        <w:tc>
          <w:tcPr>
            <w:tcW w:w="13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lastRenderedPageBreak/>
              <w:t>教育</w:t>
            </w: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教育</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24.不得举办实施军事、警察、政治和党校等特殊领域教育机构。</w:t>
            </w:r>
          </w:p>
        </w:tc>
      </w:tr>
      <w:tr w:rsidR="004E74AB" w:rsidRPr="004E74AB" w:rsidTr="004E74AB">
        <w:trPr>
          <w:jc w:val="center"/>
        </w:trPr>
        <w:tc>
          <w:tcPr>
            <w:tcW w:w="137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文化、体育和娱乐业</w:t>
            </w:r>
          </w:p>
        </w:tc>
        <w:tc>
          <w:tcPr>
            <w:tcW w:w="22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新闻出版、广播影视、金融信息</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25.禁止从事美术品和数字文献数据库及其出版物等文化产品进口业务（上述服务中，中国入世承诺中已开放的内容除外）。</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227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文化娱乐</w:t>
            </w: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26.演出经纪机构属于限制类，须由中方控股（由“为本省市提供服务的除外”调整为“为设有自贸试验区的省份提供服务的除外”）。</w:t>
            </w:r>
          </w:p>
        </w:tc>
      </w:tr>
      <w:tr w:rsidR="004E74AB" w:rsidRPr="004E74AB" w:rsidTr="004E74AB">
        <w:trPr>
          <w:jc w:val="center"/>
        </w:trPr>
        <w:tc>
          <w:tcPr>
            <w:tcW w:w="0" w:type="auto"/>
            <w:vMerge/>
            <w:tcBorders>
              <w:top w:val="nil"/>
              <w:left w:val="single" w:sz="8" w:space="0" w:color="000000"/>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0" w:type="auto"/>
            <w:vMerge/>
            <w:tcBorders>
              <w:top w:val="nil"/>
              <w:left w:val="nil"/>
              <w:bottom w:val="single" w:sz="8" w:space="0" w:color="000000"/>
              <w:right w:val="single" w:sz="8" w:space="0" w:color="000000"/>
            </w:tcBorders>
            <w:vAlign w:val="center"/>
            <w:hideMark/>
          </w:tcPr>
          <w:p w:rsidR="004E74AB" w:rsidRPr="004E74AB" w:rsidRDefault="004E74AB" w:rsidP="004E74AB">
            <w:pPr>
              <w:widowControl/>
              <w:jc w:val="left"/>
              <w:rPr>
                <w:rFonts w:ascii="Calibri" w:eastAsia="SimSun" w:hAnsi="Calibri" w:cs="SimSun"/>
                <w:kern w:val="0"/>
                <w:szCs w:val="21"/>
              </w:rPr>
            </w:pPr>
          </w:p>
        </w:tc>
        <w:tc>
          <w:tcPr>
            <w:tcW w:w="54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E74AB" w:rsidRPr="004E74AB" w:rsidRDefault="004E74AB" w:rsidP="004E74AB">
            <w:pPr>
              <w:widowControl/>
              <w:spacing w:line="586" w:lineRule="atLeast"/>
              <w:rPr>
                <w:rFonts w:ascii="Calibri" w:eastAsia="SimSun" w:hAnsi="Calibri" w:cs="SimSun"/>
                <w:kern w:val="0"/>
                <w:szCs w:val="21"/>
              </w:rPr>
            </w:pPr>
            <w:r w:rsidRPr="004E74AB">
              <w:rPr>
                <w:rFonts w:ascii="SimSun" w:eastAsia="SimSun" w:hAnsi="SimSun" w:cs="SimSun" w:hint="eastAsia"/>
                <w:color w:val="000000"/>
                <w:kern w:val="0"/>
                <w:sz w:val="20"/>
                <w:szCs w:val="20"/>
              </w:rPr>
              <w:t>27.大型主题公园的建设、经营属于限制类。</w:t>
            </w:r>
          </w:p>
        </w:tc>
      </w:tr>
    </w:tbl>
    <w:p w:rsidR="004E74AB" w:rsidRPr="004E74AB" w:rsidRDefault="004E74AB" w:rsidP="004E74AB">
      <w:pPr>
        <w:widowControl/>
        <w:shd w:val="clear" w:color="auto" w:fill="FFFFFF"/>
        <w:snapToGrid w:val="0"/>
        <w:spacing w:line="360" w:lineRule="auto"/>
        <w:jc w:val="left"/>
        <w:rPr>
          <w:rFonts w:ascii="Calibri" w:eastAsia="SimSun" w:hAnsi="Calibri" w:cs="SimSun"/>
          <w:color w:val="333333"/>
          <w:kern w:val="0"/>
          <w:szCs w:val="21"/>
        </w:rPr>
      </w:pPr>
      <w:r w:rsidRPr="004E74AB">
        <w:rPr>
          <w:rFonts w:ascii="SimSun" w:eastAsia="SimSun" w:hAnsi="SimSun" w:cs="SimSun" w:hint="eastAsia"/>
          <w:color w:val="000000"/>
          <w:kern w:val="0"/>
          <w:sz w:val="20"/>
          <w:szCs w:val="20"/>
        </w:rPr>
        <w:t>____________________________</w:t>
      </w:r>
    </w:p>
    <w:p w:rsidR="004E74AB" w:rsidRPr="004E74AB" w:rsidRDefault="004E74AB" w:rsidP="004E74AB">
      <w:pPr>
        <w:snapToGrid w:val="0"/>
        <w:spacing w:line="360" w:lineRule="auto"/>
        <w:rPr>
          <w:rFonts w:asciiTheme="minorEastAsia" w:hAnsiTheme="minorEastAsia"/>
          <w:szCs w:val="21"/>
        </w:rPr>
      </w:pPr>
      <w:r w:rsidRPr="004E74AB">
        <w:rPr>
          <w:rFonts w:asciiTheme="minorEastAsia" w:hAnsiTheme="minorEastAsia" w:hint="eastAsia"/>
          <w:szCs w:val="21"/>
        </w:rPr>
        <w:t xml:space="preserve">　*注：《自由</w:t>
      </w:r>
      <w:r w:rsidRPr="004E74AB">
        <w:rPr>
          <w:rFonts w:asciiTheme="minorEastAsia" w:hAnsiTheme="minorEastAsia" w:cs="SimSun" w:hint="eastAsia"/>
          <w:szCs w:val="21"/>
        </w:rPr>
        <w:t>贸</w:t>
      </w:r>
      <w:r w:rsidRPr="004E74AB">
        <w:rPr>
          <w:rFonts w:asciiTheme="minorEastAsia" w:hAnsiTheme="minorEastAsia" w:cs="Malgun Gothic" w:hint="eastAsia"/>
          <w:szCs w:val="21"/>
        </w:rPr>
        <w:t>易</w:t>
      </w:r>
      <w:r w:rsidRPr="004E74AB">
        <w:rPr>
          <w:rFonts w:asciiTheme="minorEastAsia" w:hAnsiTheme="minorEastAsia" w:cs="SimSun" w:hint="eastAsia"/>
          <w:szCs w:val="21"/>
        </w:rPr>
        <w:t>试验区</w:t>
      </w:r>
      <w:r w:rsidRPr="004E74AB">
        <w:rPr>
          <w:rFonts w:asciiTheme="minorEastAsia" w:hAnsiTheme="minorEastAsia" w:cs="Malgun Gothic" w:hint="eastAsia"/>
          <w:szCs w:val="21"/>
        </w:rPr>
        <w:t>外商投</w:t>
      </w:r>
      <w:r w:rsidRPr="004E74AB">
        <w:rPr>
          <w:rFonts w:asciiTheme="minorEastAsia" w:hAnsiTheme="minorEastAsia" w:cs="SimSun" w:hint="eastAsia"/>
          <w:szCs w:val="21"/>
        </w:rPr>
        <w:t>资</w:t>
      </w:r>
      <w:r w:rsidRPr="004E74AB">
        <w:rPr>
          <w:rFonts w:asciiTheme="minorEastAsia" w:hAnsiTheme="minorEastAsia" w:cs="Malgun Gothic" w:hint="eastAsia"/>
          <w:szCs w:val="21"/>
        </w:rPr>
        <w:t>准入特</w:t>
      </w:r>
      <w:r w:rsidRPr="004E74AB">
        <w:rPr>
          <w:rFonts w:asciiTheme="minorEastAsia" w:hAnsiTheme="minorEastAsia" w:cs="SimSun" w:hint="eastAsia"/>
          <w:szCs w:val="21"/>
        </w:rPr>
        <w:t>别</w:t>
      </w:r>
      <w:r w:rsidRPr="004E74AB">
        <w:rPr>
          <w:rFonts w:asciiTheme="minorEastAsia" w:hAnsiTheme="minorEastAsia" w:cs="Malgun Gothic" w:hint="eastAsia"/>
          <w:szCs w:val="21"/>
        </w:rPr>
        <w:t>管理措施（</w:t>
      </w:r>
      <w:r w:rsidRPr="004E74AB">
        <w:rPr>
          <w:rFonts w:asciiTheme="minorEastAsia" w:hAnsiTheme="minorEastAsia" w:cs="SimSun" w:hint="eastAsia"/>
          <w:szCs w:val="21"/>
        </w:rPr>
        <w:t>负</w:t>
      </w:r>
      <w:r w:rsidRPr="004E74AB">
        <w:rPr>
          <w:rFonts w:asciiTheme="minorEastAsia" w:hAnsiTheme="minorEastAsia" w:cs="Malgun Gothic" w:hint="eastAsia"/>
          <w:szCs w:val="21"/>
        </w:rPr>
        <w:t>面</w:t>
      </w:r>
      <w:r w:rsidRPr="004E74AB">
        <w:rPr>
          <w:rFonts w:asciiTheme="minorEastAsia" w:hAnsiTheme="minorEastAsia" w:cs="SimSun" w:hint="eastAsia"/>
          <w:szCs w:val="21"/>
        </w:rPr>
        <w:t>清单</w:t>
      </w:r>
      <w:r w:rsidRPr="004E74AB">
        <w:rPr>
          <w:rFonts w:asciiTheme="minorEastAsia" w:hAnsiTheme="minorEastAsia" w:cs="Malgun Gothic" w:hint="eastAsia"/>
          <w:szCs w:val="21"/>
        </w:rPr>
        <w:t>）（</w:t>
      </w:r>
      <w:r w:rsidRPr="004E74AB">
        <w:rPr>
          <w:rFonts w:asciiTheme="minorEastAsia" w:hAnsiTheme="minorEastAsia" w:hint="eastAsia"/>
          <w:szCs w:val="21"/>
        </w:rPr>
        <w:t>2017年版）》</w:t>
      </w:r>
      <w:r w:rsidRPr="004E74AB">
        <w:rPr>
          <w:rFonts w:asciiTheme="minorEastAsia" w:hAnsiTheme="minorEastAsia" w:cs="SimSun" w:hint="eastAsia"/>
          <w:szCs w:val="21"/>
        </w:rPr>
        <w:t>与</w:t>
      </w:r>
      <w:r w:rsidRPr="004E74AB">
        <w:rPr>
          <w:rFonts w:asciiTheme="minorEastAsia" w:hAnsiTheme="minorEastAsia" w:cs="Malgun Gothic" w:hint="eastAsia"/>
          <w:szCs w:val="21"/>
        </w:rPr>
        <w:t>上一版相比，共</w:t>
      </w:r>
      <w:r w:rsidRPr="004E74AB">
        <w:rPr>
          <w:rFonts w:asciiTheme="minorEastAsia" w:hAnsiTheme="minorEastAsia" w:cs="SimSun" w:hint="eastAsia"/>
          <w:szCs w:val="21"/>
        </w:rPr>
        <w:t>减</w:t>
      </w:r>
      <w:r w:rsidRPr="004E74AB">
        <w:rPr>
          <w:rFonts w:asciiTheme="minorEastAsia" w:hAnsiTheme="minorEastAsia" w:cs="Malgun Gothic" w:hint="eastAsia"/>
          <w:szCs w:val="21"/>
        </w:rPr>
        <w:t>少了</w:t>
      </w:r>
      <w:r w:rsidRPr="004E74AB">
        <w:rPr>
          <w:rFonts w:asciiTheme="minorEastAsia" w:hAnsiTheme="minorEastAsia" w:hint="eastAsia"/>
          <w:szCs w:val="21"/>
        </w:rPr>
        <w:t>10</w:t>
      </w:r>
      <w:r w:rsidRPr="004E74AB">
        <w:rPr>
          <w:rFonts w:asciiTheme="minorEastAsia" w:hAnsiTheme="minorEastAsia" w:cs="SimSun" w:hint="eastAsia"/>
          <w:szCs w:val="21"/>
        </w:rPr>
        <w:t>个条</w:t>
      </w:r>
      <w:r w:rsidRPr="004E74AB">
        <w:rPr>
          <w:rFonts w:asciiTheme="minorEastAsia" w:hAnsiTheme="minorEastAsia" w:cs="Malgun Gothic" w:hint="eastAsia"/>
          <w:szCs w:val="21"/>
        </w:rPr>
        <w:t>目、</w:t>
      </w:r>
      <w:r w:rsidRPr="004E74AB">
        <w:rPr>
          <w:rFonts w:asciiTheme="minorEastAsia" w:hAnsiTheme="minorEastAsia" w:hint="eastAsia"/>
          <w:szCs w:val="21"/>
        </w:rPr>
        <w:t>27</w:t>
      </w:r>
      <w:r w:rsidRPr="004E74AB">
        <w:rPr>
          <w:rFonts w:asciiTheme="minorEastAsia" w:hAnsiTheme="minorEastAsia" w:cs="SimSun" w:hint="eastAsia"/>
          <w:szCs w:val="21"/>
        </w:rPr>
        <w:t>项</w:t>
      </w:r>
      <w:r w:rsidRPr="004E74AB">
        <w:rPr>
          <w:rFonts w:asciiTheme="minorEastAsia" w:hAnsiTheme="minorEastAsia" w:cs="Malgun Gothic" w:hint="eastAsia"/>
          <w:szCs w:val="21"/>
        </w:rPr>
        <w:t>措施。其中，</w:t>
      </w:r>
      <w:r w:rsidRPr="004E74AB">
        <w:rPr>
          <w:rFonts w:asciiTheme="minorEastAsia" w:hAnsiTheme="minorEastAsia" w:cs="SimSun" w:hint="eastAsia"/>
          <w:szCs w:val="21"/>
        </w:rPr>
        <w:t>减</w:t>
      </w:r>
      <w:r w:rsidRPr="004E74AB">
        <w:rPr>
          <w:rFonts w:asciiTheme="minorEastAsia" w:hAnsiTheme="minorEastAsia" w:cs="Malgun Gothic" w:hint="eastAsia"/>
          <w:szCs w:val="21"/>
        </w:rPr>
        <w:t>少的</w:t>
      </w:r>
      <w:r w:rsidRPr="004E74AB">
        <w:rPr>
          <w:rFonts w:asciiTheme="minorEastAsia" w:hAnsiTheme="minorEastAsia" w:cs="SimSun" w:hint="eastAsia"/>
          <w:szCs w:val="21"/>
        </w:rPr>
        <w:t>条</w:t>
      </w:r>
      <w:r w:rsidRPr="004E74AB">
        <w:rPr>
          <w:rFonts w:asciiTheme="minorEastAsia" w:hAnsiTheme="minorEastAsia" w:cs="Malgun Gothic" w:hint="eastAsia"/>
          <w:szCs w:val="21"/>
        </w:rPr>
        <w:t>目包括</w:t>
      </w:r>
      <w:r w:rsidRPr="004E74AB">
        <w:rPr>
          <w:rFonts w:asciiTheme="minorEastAsia" w:hAnsiTheme="minorEastAsia" w:cs="SimSun" w:hint="eastAsia"/>
          <w:szCs w:val="21"/>
        </w:rPr>
        <w:t>轨</w:t>
      </w:r>
      <w:r w:rsidRPr="004E74AB">
        <w:rPr>
          <w:rFonts w:asciiTheme="minorEastAsia" w:hAnsiTheme="minorEastAsia" w:cs="Malgun Gothic" w:hint="eastAsia"/>
          <w:szCs w:val="21"/>
        </w:rPr>
        <w:t>道交通</w:t>
      </w:r>
      <w:r w:rsidRPr="004E74AB">
        <w:rPr>
          <w:rFonts w:asciiTheme="minorEastAsia" w:hAnsiTheme="minorEastAsia" w:cs="SimSun" w:hint="eastAsia"/>
          <w:szCs w:val="21"/>
        </w:rPr>
        <w:t>设备</w:t>
      </w:r>
      <w:r w:rsidRPr="004E74AB">
        <w:rPr>
          <w:rFonts w:asciiTheme="minorEastAsia" w:hAnsiTheme="minorEastAsia" w:cs="Malgun Gothic" w:hint="eastAsia"/>
          <w:szCs w:val="21"/>
        </w:rPr>
        <w:t>制造、</w:t>
      </w:r>
      <w:r w:rsidRPr="004E74AB">
        <w:rPr>
          <w:rFonts w:asciiTheme="minorEastAsia" w:hAnsiTheme="minorEastAsia" w:cs="SimSun" w:hint="eastAsia"/>
          <w:szCs w:val="21"/>
        </w:rPr>
        <w:t>医药</w:t>
      </w:r>
      <w:r w:rsidRPr="004E74AB">
        <w:rPr>
          <w:rFonts w:asciiTheme="minorEastAsia" w:hAnsiTheme="minorEastAsia" w:cs="Malgun Gothic" w:hint="eastAsia"/>
          <w:szCs w:val="21"/>
        </w:rPr>
        <w:t>制造、道路</w:t>
      </w:r>
      <w:r w:rsidRPr="004E74AB">
        <w:rPr>
          <w:rFonts w:asciiTheme="minorEastAsia" w:hAnsiTheme="minorEastAsia" w:cs="SimSun" w:hint="eastAsia"/>
          <w:szCs w:val="21"/>
        </w:rPr>
        <w:t>运输</w:t>
      </w:r>
      <w:r w:rsidRPr="004E74AB">
        <w:rPr>
          <w:rFonts w:asciiTheme="minorEastAsia" w:hAnsiTheme="minorEastAsia" w:cs="Malgun Gothic" w:hint="eastAsia"/>
          <w:szCs w:val="21"/>
        </w:rPr>
        <w:t>、保</w:t>
      </w:r>
      <w:r w:rsidRPr="004E74AB">
        <w:rPr>
          <w:rFonts w:asciiTheme="minorEastAsia" w:hAnsiTheme="minorEastAsia" w:cs="SimSun" w:hint="eastAsia"/>
          <w:szCs w:val="21"/>
        </w:rPr>
        <w:t>险业务</w:t>
      </w:r>
      <w:r w:rsidRPr="004E74AB">
        <w:rPr>
          <w:rFonts w:asciiTheme="minorEastAsia" w:hAnsiTheme="minorEastAsia" w:cs="Malgun Gothic" w:hint="eastAsia"/>
          <w:szCs w:val="21"/>
        </w:rPr>
        <w:t>、</w:t>
      </w:r>
      <w:r w:rsidRPr="004E74AB">
        <w:rPr>
          <w:rFonts w:asciiTheme="minorEastAsia" w:hAnsiTheme="minorEastAsia" w:cs="SimSun" w:hint="eastAsia"/>
          <w:szCs w:val="21"/>
        </w:rPr>
        <w:t>会计审计</w:t>
      </w:r>
      <w:r w:rsidRPr="004E74AB">
        <w:rPr>
          <w:rFonts w:asciiTheme="minorEastAsia" w:hAnsiTheme="minorEastAsia" w:cs="Malgun Gothic" w:hint="eastAsia"/>
          <w:szCs w:val="21"/>
        </w:rPr>
        <w:t>、其他商</w:t>
      </w:r>
      <w:r w:rsidRPr="004E74AB">
        <w:rPr>
          <w:rFonts w:asciiTheme="minorEastAsia" w:hAnsiTheme="minorEastAsia" w:cs="SimSun" w:hint="eastAsia"/>
          <w:szCs w:val="21"/>
        </w:rPr>
        <w:t>务</w:t>
      </w:r>
      <w:r w:rsidRPr="004E74AB">
        <w:rPr>
          <w:rFonts w:asciiTheme="minorEastAsia" w:hAnsiTheme="minorEastAsia" w:cs="Malgun Gothic" w:hint="eastAsia"/>
          <w:szCs w:val="21"/>
        </w:rPr>
        <w:t>服</w:t>
      </w:r>
      <w:r w:rsidRPr="004E74AB">
        <w:rPr>
          <w:rFonts w:asciiTheme="minorEastAsia" w:hAnsiTheme="minorEastAsia" w:cs="SimSun" w:hint="eastAsia"/>
          <w:szCs w:val="21"/>
        </w:rPr>
        <w:t>务</w:t>
      </w:r>
      <w:r w:rsidRPr="004E74AB">
        <w:rPr>
          <w:rFonts w:asciiTheme="minorEastAsia" w:hAnsiTheme="minorEastAsia" w:cs="Malgun Gothic" w:hint="eastAsia"/>
          <w:szCs w:val="21"/>
        </w:rPr>
        <w:t>等</w:t>
      </w:r>
      <w:r w:rsidRPr="004E74AB">
        <w:rPr>
          <w:rFonts w:asciiTheme="minorEastAsia" w:hAnsiTheme="minorEastAsia" w:hint="eastAsia"/>
          <w:szCs w:val="21"/>
        </w:rPr>
        <w:t>6</w:t>
      </w:r>
      <w:r w:rsidRPr="004E74AB">
        <w:rPr>
          <w:rFonts w:asciiTheme="minorEastAsia" w:hAnsiTheme="minorEastAsia" w:cs="SimSun" w:hint="eastAsia"/>
          <w:szCs w:val="21"/>
        </w:rPr>
        <w:t>条</w:t>
      </w:r>
      <w:r w:rsidRPr="004E74AB">
        <w:rPr>
          <w:rFonts w:asciiTheme="minorEastAsia" w:hAnsiTheme="minorEastAsia" w:cs="Malgun Gothic" w:hint="eastAsia"/>
          <w:szCs w:val="21"/>
        </w:rPr>
        <w:t>，同</w:t>
      </w:r>
      <w:r w:rsidRPr="004E74AB">
        <w:rPr>
          <w:rFonts w:asciiTheme="minorEastAsia" w:hAnsiTheme="minorEastAsia" w:cs="SimSun" w:hint="eastAsia"/>
          <w:szCs w:val="21"/>
        </w:rPr>
        <w:t>时</w:t>
      </w:r>
      <w:r w:rsidRPr="004E74AB">
        <w:rPr>
          <w:rFonts w:asciiTheme="minorEastAsia" w:hAnsiTheme="minorEastAsia" w:cs="Malgun Gothic" w:hint="eastAsia"/>
          <w:szCs w:val="21"/>
        </w:rPr>
        <w:t>整合</w:t>
      </w:r>
      <w:r w:rsidRPr="004E74AB">
        <w:rPr>
          <w:rFonts w:asciiTheme="minorEastAsia" w:hAnsiTheme="minorEastAsia" w:cs="SimSun" w:hint="eastAsia"/>
          <w:szCs w:val="21"/>
        </w:rPr>
        <w:t>减</w:t>
      </w:r>
      <w:r w:rsidRPr="004E74AB">
        <w:rPr>
          <w:rFonts w:asciiTheme="minorEastAsia" w:hAnsiTheme="minorEastAsia" w:cs="Malgun Gothic" w:hint="eastAsia"/>
          <w:szCs w:val="21"/>
        </w:rPr>
        <w:t>少了</w:t>
      </w:r>
      <w:r w:rsidRPr="004E74AB">
        <w:rPr>
          <w:rFonts w:asciiTheme="minorEastAsia" w:hAnsiTheme="minorEastAsia" w:hint="eastAsia"/>
          <w:szCs w:val="21"/>
        </w:rPr>
        <w:t>4</w:t>
      </w:r>
      <w:r w:rsidRPr="004E74AB">
        <w:rPr>
          <w:rFonts w:asciiTheme="minorEastAsia" w:hAnsiTheme="minorEastAsia" w:cs="SimSun" w:hint="eastAsia"/>
          <w:szCs w:val="21"/>
        </w:rPr>
        <w:t>条</w:t>
      </w:r>
      <w:r w:rsidRPr="004E74AB">
        <w:rPr>
          <w:rFonts w:asciiTheme="minorEastAsia" w:hAnsiTheme="minorEastAsia" w:hint="eastAsia"/>
          <w:szCs w:val="21"/>
        </w:rPr>
        <w:t>。</w:t>
      </w:r>
    </w:p>
    <w:sectPr w:rsidR="004E74AB" w:rsidRPr="004E74AB" w:rsidSect="00AB17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4A5" w:rsidRDefault="007554A5" w:rsidP="004E74AB">
      <w:r>
        <w:separator/>
      </w:r>
    </w:p>
  </w:endnote>
  <w:endnote w:type="continuationSeparator" w:id="1">
    <w:p w:rsidR="007554A5" w:rsidRDefault="007554A5" w:rsidP="004E74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楷体">
    <w:altName w:val="Arial Unicode MS"/>
    <w:charset w:val="86"/>
    <w:family w:val="modern"/>
    <w:pitch w:val="fixed"/>
    <w:sig w:usb0="00000000" w:usb1="38CF7CFA" w:usb2="00000016" w:usb3="00000000" w:csb0="00040001" w:csb1="00000000"/>
  </w:font>
  <w:font w:name="Malgun Goth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4A5" w:rsidRDefault="007554A5" w:rsidP="004E74AB">
      <w:r>
        <w:separator/>
      </w:r>
    </w:p>
  </w:footnote>
  <w:footnote w:type="continuationSeparator" w:id="1">
    <w:p w:rsidR="007554A5" w:rsidRDefault="007554A5" w:rsidP="004E74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1B31"/>
    <w:rsid w:val="00113B40"/>
    <w:rsid w:val="004E74AB"/>
    <w:rsid w:val="00536264"/>
    <w:rsid w:val="00572AAB"/>
    <w:rsid w:val="00631B31"/>
    <w:rsid w:val="007554A5"/>
    <w:rsid w:val="00AB1770"/>
    <w:rsid w:val="00B25A04"/>
    <w:rsid w:val="00B45C9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4AB"/>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semiHidden/>
    <w:rsid w:val="004E74AB"/>
    <w:rPr>
      <w:sz w:val="18"/>
      <w:szCs w:val="18"/>
    </w:rPr>
  </w:style>
  <w:style w:type="paragraph" w:styleId="a4">
    <w:name w:val="footer"/>
    <w:basedOn w:val="a"/>
    <w:link w:val="Char0"/>
    <w:uiPriority w:val="99"/>
    <w:semiHidden/>
    <w:unhideWhenUsed/>
    <w:rsid w:val="004E74AB"/>
    <w:pPr>
      <w:tabs>
        <w:tab w:val="center" w:pos="4153"/>
        <w:tab w:val="right" w:pos="8306"/>
      </w:tabs>
      <w:snapToGrid w:val="0"/>
      <w:jc w:val="left"/>
    </w:pPr>
    <w:rPr>
      <w:sz w:val="18"/>
      <w:szCs w:val="18"/>
    </w:rPr>
  </w:style>
  <w:style w:type="character" w:customStyle="1" w:styleId="Char0">
    <w:name w:val="바닥글 Char"/>
    <w:basedOn w:val="a0"/>
    <w:link w:val="a4"/>
    <w:uiPriority w:val="99"/>
    <w:semiHidden/>
    <w:rsid w:val="004E74AB"/>
    <w:rPr>
      <w:sz w:val="18"/>
      <w:szCs w:val="18"/>
    </w:rPr>
  </w:style>
  <w:style w:type="paragraph" w:styleId="a5">
    <w:name w:val="Normal (Web)"/>
    <w:basedOn w:val="a"/>
    <w:uiPriority w:val="99"/>
    <w:unhideWhenUsed/>
    <w:rsid w:val="004E74AB"/>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r="http://schemas.openxmlformats.org/officeDocument/2006/relationships" xmlns:w="http://schemas.openxmlformats.org/wordprocessingml/2006/main">
  <w:divs>
    <w:div w:id="196042846">
      <w:bodyDiv w:val="1"/>
      <w:marLeft w:val="0"/>
      <w:marRight w:val="0"/>
      <w:marTop w:val="0"/>
      <w:marBottom w:val="0"/>
      <w:divBdr>
        <w:top w:val="none" w:sz="0" w:space="0" w:color="auto"/>
        <w:left w:val="none" w:sz="0" w:space="0" w:color="auto"/>
        <w:bottom w:val="none" w:sz="0" w:space="0" w:color="auto"/>
        <w:right w:val="none" w:sz="0" w:space="0" w:color="auto"/>
      </w:divBdr>
    </w:div>
    <w:div w:id="430203887">
      <w:bodyDiv w:val="1"/>
      <w:marLeft w:val="0"/>
      <w:marRight w:val="0"/>
      <w:marTop w:val="0"/>
      <w:marBottom w:val="0"/>
      <w:divBdr>
        <w:top w:val="none" w:sz="0" w:space="0" w:color="auto"/>
        <w:left w:val="none" w:sz="0" w:space="0" w:color="auto"/>
        <w:bottom w:val="none" w:sz="0" w:space="0" w:color="auto"/>
        <w:right w:val="none" w:sz="0" w:space="0" w:color="auto"/>
      </w:divBdr>
    </w:div>
    <w:div w:id="4626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011B4-9A9A-47BC-93AA-C1DEC180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cui</cp:lastModifiedBy>
  <cp:revision>3</cp:revision>
  <dcterms:created xsi:type="dcterms:W3CDTF">2017-06-26T00:48:00Z</dcterms:created>
  <dcterms:modified xsi:type="dcterms:W3CDTF">2017-06-26T00:48:00Z</dcterms:modified>
</cp:coreProperties>
</file>