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F53D63" w:rsidRPr="00F53D63" w:rsidTr="00EF7595">
        <w:tc>
          <w:tcPr>
            <w:tcW w:w="4785" w:type="dxa"/>
          </w:tcPr>
          <w:p w:rsidR="00F53D63" w:rsidRDefault="00F53D63" w:rsidP="00F53D63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F53D6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신고기한이 경과된 </w:t>
            </w:r>
            <w:proofErr w:type="spellStart"/>
            <w:r w:rsidRPr="00F53D6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수출세</w:t>
            </w:r>
            <w:proofErr w:type="spellEnd"/>
            <w:r w:rsidRPr="00F53D6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환급</w:t>
            </w:r>
          </w:p>
          <w:p w:rsidR="00F53D63" w:rsidRDefault="00F53D63" w:rsidP="00F53D63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F53D6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(면제) 신고유예에 관한</w:t>
            </w:r>
          </w:p>
          <w:p w:rsidR="00F53D63" w:rsidRPr="00F53D63" w:rsidRDefault="00F53D63" w:rsidP="00F53D63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F53D6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국가세무총국의 공고</w:t>
            </w:r>
          </w:p>
          <w:p w:rsidR="00F53D63" w:rsidRPr="00F53D63" w:rsidRDefault="00F53D63" w:rsidP="00F53D6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53D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공고 2015년 제44호</w:t>
            </w:r>
          </w:p>
          <w:p w:rsidR="00F53D63" w:rsidRPr="00F53D63" w:rsidRDefault="00F53D63" w:rsidP="00F53D6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F7595" w:rsidRDefault="00F53D63" w:rsidP="00EF7595">
            <w:pPr>
              <w:wordWrap w:val="0"/>
              <w:autoSpaceDN w:val="0"/>
              <w:spacing w:line="290" w:lineRule="atLeast"/>
              <w:ind w:firstLineChars="200" w:firstLine="356"/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</w:pPr>
            <w:r w:rsidRPr="00EF7595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'세무신고 편리화 봄바람 행사'</w:t>
            </w:r>
            <w:proofErr w:type="spellStart"/>
            <w:r w:rsidRPr="00EF7595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를</w:t>
            </w:r>
            <w:proofErr w:type="spellEnd"/>
            <w:r w:rsidRPr="00EF7595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 심도 있게 추진하고 </w:t>
            </w:r>
            <w:proofErr w:type="spellStart"/>
            <w:r w:rsidRPr="00EF7595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수출세</w:t>
            </w:r>
            <w:proofErr w:type="spellEnd"/>
            <w:r w:rsidRPr="00EF7595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 환급 서비스를 지속적으로 개선하며 납세자의 애로사항을 확실하게 해결하기 위한 목적으로 세무총국은 신고기한이 경과된 </w:t>
            </w:r>
            <w:proofErr w:type="spellStart"/>
            <w:r w:rsidRPr="00EF7595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수출세</w:t>
            </w:r>
            <w:proofErr w:type="spellEnd"/>
            <w:r w:rsidRPr="00EF7595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 환급(면제)의 신고유예를 결정하였다. 이에 다음과 같이 구체 사항을 공고한다.</w:t>
            </w:r>
          </w:p>
          <w:p w:rsidR="00EF7595" w:rsidRDefault="00EF7595" w:rsidP="00EF7595">
            <w:pPr>
              <w:wordWrap w:val="0"/>
              <w:autoSpaceDN w:val="0"/>
              <w:spacing w:line="290" w:lineRule="atLeast"/>
              <w:ind w:firstLineChars="200" w:firstLine="356"/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1. </w:t>
            </w:r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화물·용역 및 서비스를 수출한 수출기업 또는 기타 업체가 다음 각 호의 어느 하나에 해당되는 사유로 서류를 확보할 수 없어 규정된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기한내에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수출세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환급(면제) 신고 수속을 진행할 수 없게 되었고 유예신청도 제출하지 아니한 경우 수출기업 또는 기타 업체는 2015년 7월 31일 전에 관할 세무기관에 입증서류를 제출하여 신고유예를 신청할 수 있으며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수출세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환급(면제) 심사비준 담당 국세기관의 허가를 득한 후 신고유예를 받을 수 있다.</w:t>
            </w:r>
          </w:p>
          <w:p w:rsidR="00EF7595" w:rsidRDefault="00EF7595" w:rsidP="00EF759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</w:t>
            </w:r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자연재해, 사회돌발사건 등 불가항력적인 사유가 발생한 경우;</w:t>
            </w:r>
          </w:p>
          <w:p w:rsidR="00EF7595" w:rsidRDefault="00EF7595" w:rsidP="00EF759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(2)</w:t>
            </w:r>
            <w:r w:rsidRPr="00EF7595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 xml:space="preserve">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수출세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 xml:space="preserve"> 환급(면제) 신고증빙을 도난·강탈당했거나 발송 과정에서 분실되었거나 배달오류가 발생한 경우;</w:t>
            </w:r>
          </w:p>
          <w:p w:rsidR="00EF7595" w:rsidRDefault="00EF7595" w:rsidP="00EF759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(3) </w:t>
            </w:r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사법기관, 행정기관이 업무처리 또는 검사의 목적으로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환급(면제) 신고증빙을 압류한 경우;</w:t>
            </w:r>
          </w:p>
          <w:p w:rsidR="00EF7595" w:rsidRDefault="00EF7595" w:rsidP="00EF759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(4)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판구매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당사자간의 경제분쟁으로 인해 규정된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기한내에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환급(면제) 신고증빙을 확보할 수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없게된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경우;</w:t>
            </w:r>
          </w:p>
          <w:p w:rsidR="00EF7595" w:rsidRDefault="00EF7595" w:rsidP="00EF759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(5) </w:t>
            </w:r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기업 세무담당 인력의 부상·사망, 중질환 돌발 또는 무단퇴사로 인수인계가 이루어지지 못하여 규정된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기한내에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환급(면제) 신고증빙을 제공할 수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없게된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경우;</w:t>
            </w:r>
          </w:p>
          <w:p w:rsidR="00EF7595" w:rsidRDefault="00EF7595" w:rsidP="00EF759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(6) </w:t>
            </w:r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기업이 해관에 제출한 수출화물 신고서 수정신청이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수출세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환급(면제) 신고기한 마감일이 경과될 때 까지 처리가 끝나지 않아 규정된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기한내에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수출화물 신고서를 제공할 수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없게된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경우;</w:t>
            </w:r>
          </w:p>
          <w:p w:rsidR="00EF7595" w:rsidRDefault="00EF7595" w:rsidP="00EF759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(7) </w:t>
            </w:r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관련 정부부서가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환급(면제) 신고기한이 경과된 후에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환급(면제) 신고에 필요한 증빙서류를 발급한 경우.</w:t>
            </w:r>
          </w:p>
          <w:p w:rsidR="00EF7595" w:rsidRDefault="00EF7595" w:rsidP="00EF759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수출기업 또는 기타 업체가 &lt;&lt;화물·용역 수출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증치세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및 소비세 관리방법&gt; 관련 문제에 관한 국가세무총국의 공고&gt;(국가세무총국 공고 2013년 제12호) 제2조 제(18)항의 규정과 이 공고 제1조의 규정에 따라 제출한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</w:t>
            </w:r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환급(면제) 신고유예 신청은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환급(면제) 심사비준 담당 국세기관이 허가하고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관활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세무기관이 기업의 신청을 접수한 날로부터 20일(근무일 기준) 내에 허가를 완료해야 하며 허가결과는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관활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세무기관이 수출기업 또는 기타 업체에게 통보한다.</w:t>
            </w:r>
          </w:p>
          <w:p w:rsidR="00EF7595" w:rsidRDefault="00F53D63" w:rsidP="00EF759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</w:pPr>
            <w:r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성·자치구·직할시·</w:t>
            </w:r>
            <w:proofErr w:type="spellStart"/>
            <w:r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계획단열시</w:t>
            </w:r>
            <w:proofErr w:type="spellEnd"/>
            <w:r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국가세무국은 필요한 조치를 취하여 </w:t>
            </w:r>
            <w:proofErr w:type="spellStart"/>
            <w:r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수출세</w:t>
            </w:r>
            <w:proofErr w:type="spellEnd"/>
            <w:r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환급(면제) 신고유예 신청 허가상황을 엄밀하게 </w:t>
            </w:r>
            <w:proofErr w:type="spellStart"/>
            <w:r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모니터링해야</w:t>
            </w:r>
            <w:proofErr w:type="spellEnd"/>
            <w:r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하며 </w:t>
            </w:r>
            <w:proofErr w:type="spellStart"/>
            <w:r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수출세</w:t>
            </w:r>
            <w:proofErr w:type="spellEnd"/>
            <w:r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환급(면제) 신고유예 신청 허가결과에 대해 추출검사를 실시해야 한다.</w:t>
            </w:r>
          </w:p>
          <w:p w:rsidR="00F53D63" w:rsidRPr="00EF7595" w:rsidRDefault="00EF7595" w:rsidP="00EF7595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pacing w:val="-1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공고는 공표일로부터 시행한다. 국가세무총국 공고 2013년 제12호 제2조 제(18)항 중 성·자치구·직할시·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계획단열시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국가세무국이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수출기업 또는 기타 업체가 제출한 </w:t>
            </w:r>
            <w:proofErr w:type="spellStart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수출세</w:t>
            </w:r>
            <w:proofErr w:type="spellEnd"/>
            <w:r w:rsidR="00F53D63" w:rsidRPr="00EF759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환급(면제) 신고유예 신청을 허가한다는 규정은 집행을 중지한다.</w:t>
            </w:r>
          </w:p>
          <w:p w:rsidR="00F53D63" w:rsidRPr="00F53D63" w:rsidRDefault="00F53D63" w:rsidP="00F53D63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53D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특별히 공고하는 바이다.</w:t>
            </w:r>
          </w:p>
          <w:p w:rsidR="00F53D63" w:rsidRPr="00F53D63" w:rsidRDefault="00F53D63" w:rsidP="00F53D63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53D63" w:rsidRPr="00F53D63" w:rsidRDefault="00F53D63" w:rsidP="00EF7595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53D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국가세무총국 </w:t>
            </w:r>
          </w:p>
          <w:p w:rsidR="00F53D63" w:rsidRPr="00F53D63" w:rsidRDefault="00F53D63" w:rsidP="00EF7595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</w:rPr>
            </w:pPr>
            <w:r w:rsidRPr="00F53D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6월 11일</w:t>
            </w:r>
          </w:p>
          <w:p w:rsidR="00F53D63" w:rsidRPr="00F53D63" w:rsidRDefault="00F53D63" w:rsidP="00EF7595">
            <w:pPr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szCs w:val="21"/>
              </w:rPr>
            </w:pPr>
          </w:p>
        </w:tc>
        <w:tc>
          <w:tcPr>
            <w:tcW w:w="3958" w:type="dxa"/>
          </w:tcPr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F53D63">
              <w:rPr>
                <w:rFonts w:ascii="SimSun" w:eastAsia="SimSun" w:hAnsi="SimSun" w:hint="eastAsia"/>
                <w:b/>
                <w:sz w:val="26"/>
                <w:szCs w:val="26"/>
              </w:rPr>
              <w:t>国家税务总局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F53D63">
              <w:rPr>
                <w:rFonts w:ascii="SimSun" w:eastAsia="SimSun" w:hAnsi="SimSun" w:hint="eastAsia"/>
                <w:b/>
                <w:sz w:val="26"/>
                <w:szCs w:val="26"/>
              </w:rPr>
              <w:t>关于逾期未申报的出口退（免）税可延期申报的公告</w:t>
            </w:r>
          </w:p>
          <w:p w:rsidR="00F53D63" w:rsidRPr="00F53D63" w:rsidRDefault="00F53D63" w:rsidP="00F53D63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>国家税务总局公告2015年第44号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为深入开展“便民办税春风行动”，持续优化出口退税服务，切实解决纳税人的问题，税务总局决定，逾期未申报的出口退（免）税可延期申报。具体公告如下：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一、</w:t>
            </w:r>
            <w:r w:rsidRPr="00EF7595">
              <w:rPr>
                <w:rFonts w:ascii="SimSun" w:eastAsia="SimSun" w:hAnsi="SimSun" w:hint="eastAsia"/>
                <w:spacing w:val="10"/>
                <w:szCs w:val="21"/>
              </w:rPr>
              <w:t>出口企业或其他单位出口货物劳务及服务的出口退（免）税，由于以下原因未收齐单证，无法在规定期限内申报，且未提出延期申请的，出口企业或其他单位可在2015年7月31日前提供举证材料，向主管国税机关提出延期申请，经审批出口退（免）税的国税机关核准后，可延期申报。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（一）自然灾害、社会突发事件等不可抗力因素；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（二）出口退（免）税申报凭证被盗、抢，或者因邮寄丢失、误递；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（三）有关司法、行政机关在办理业务或者检查中，扣押出口退（免）税申报凭证；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（四）</w:t>
            </w:r>
            <w:r w:rsidRPr="00EF7595">
              <w:rPr>
                <w:rFonts w:ascii="SimSun" w:eastAsia="SimSun" w:hAnsi="SimSun" w:hint="eastAsia"/>
                <w:spacing w:val="8"/>
                <w:szCs w:val="21"/>
              </w:rPr>
              <w:t>买卖双方因经济纠纷，未能按时取得出口退（免）税申报凭证；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（五）由于企业办税人员伤亡、突发危重疾病或者擅自离职，未能办理交接手续，导致不能按期提供出口退（免）税申报凭证；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（六）由于企业向海关提出修改出口货物报关单申请，在退（免）税期限截止之日海关未完成修改，导致不能按期提供出口货物报关单；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（七）有关政府部门在出口退（免）税申报期限截止之日后才出具出口退（免）税申报所需凭证资料。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二、对出口企业或其他单位按《国家税务总局关于〈出口货物劳务增值税和消费税管理办法〉有关问题的公告》（国家税务总局公告2013年第12号）第二条第（十八）项规定和按本公告第一</w:t>
            </w:r>
            <w:r w:rsidRPr="00F53D63">
              <w:rPr>
                <w:rFonts w:ascii="SimSun" w:eastAsia="SimSun" w:hAnsi="SimSun" w:hint="eastAsia"/>
                <w:szCs w:val="21"/>
              </w:rPr>
              <w:lastRenderedPageBreak/>
              <w:t>条规定提出的出口退（免）税延期申请，由负责审批出口退（免）税的国税机关负责核准，核准工作应自主管国税机关受理企业申请之日起的20个工作日内完成，核准结果由主管国税机关告知出口企业或其他单位。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各省、自治区、直辖市、计划单列市国家税务局应采取措施，密切监控出口退（免）税延期申请的核准情况，并抽查部分出口退（免）税延期申请的核准结果。</w:t>
            </w:r>
          </w:p>
          <w:p w:rsidR="00F53D63" w:rsidRPr="00F53D63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 xml:space="preserve">　　三、本公告自发布之日起施行。国家税务总局公告2013年第12号第二条第（十八）项中出口企业或其他单位提出的出口退（免）税延期申请，需经省、自治区、直辖市、计划单列市国家税务局批准的规定，停止执行。</w:t>
            </w:r>
          </w:p>
          <w:p w:rsidR="00F53D63" w:rsidRDefault="00F53D63" w:rsidP="00EF7595">
            <w:pPr>
              <w:wordWrap w:val="0"/>
              <w:autoSpaceDE w:val="0"/>
              <w:autoSpaceDN w:val="0"/>
              <w:spacing w:line="290" w:lineRule="atLeast"/>
              <w:ind w:firstLine="405"/>
              <w:rPr>
                <w:rFonts w:ascii="SimSun" w:hAnsi="SimSun" w:hint="eastAsia"/>
                <w:szCs w:val="21"/>
                <w:lang w:eastAsia="ko-KR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EF7595" w:rsidRPr="00EF7595" w:rsidRDefault="00EF7595" w:rsidP="00EF7595">
            <w:pPr>
              <w:wordWrap w:val="0"/>
              <w:autoSpaceDE w:val="0"/>
              <w:autoSpaceDN w:val="0"/>
              <w:spacing w:line="290" w:lineRule="atLeast"/>
              <w:ind w:firstLine="405"/>
              <w:rPr>
                <w:rFonts w:ascii="SimSun" w:hAnsi="SimSun" w:hint="eastAsia"/>
                <w:szCs w:val="21"/>
                <w:lang w:eastAsia="ko-KR"/>
              </w:rPr>
            </w:pPr>
          </w:p>
          <w:p w:rsidR="00F53D63" w:rsidRPr="00F53D63" w:rsidRDefault="00F53D63" w:rsidP="00EF7595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F53D63" w:rsidRPr="00F53D63" w:rsidRDefault="00F53D63" w:rsidP="00EF7595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F53D63">
              <w:rPr>
                <w:rFonts w:ascii="SimSun" w:eastAsia="SimSun" w:hAnsi="SimSun" w:hint="eastAsia"/>
                <w:szCs w:val="21"/>
              </w:rPr>
              <w:t>2015年6月11日</w:t>
            </w:r>
          </w:p>
          <w:p w:rsidR="00F53D63" w:rsidRPr="00EF7595" w:rsidRDefault="00F53D63" w:rsidP="00F53D63">
            <w:pPr>
              <w:wordWrap w:val="0"/>
              <w:autoSpaceDE w:val="0"/>
              <w:autoSpaceDN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</w:tc>
      </w:tr>
    </w:tbl>
    <w:p w:rsidR="00100135" w:rsidRDefault="00100135"/>
    <w:sectPr w:rsidR="00100135" w:rsidSect="00F53D63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2C7"/>
    <w:multiLevelType w:val="hybridMultilevel"/>
    <w:tmpl w:val="21066A6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95316B"/>
    <w:multiLevelType w:val="hybridMultilevel"/>
    <w:tmpl w:val="301618DA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53D63"/>
    <w:rsid w:val="00100135"/>
    <w:rsid w:val="00BC6EC6"/>
    <w:rsid w:val="00EF7595"/>
    <w:rsid w:val="00F5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63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D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D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2015-06-25T04:53:00Z</dcterms:created>
  <dcterms:modified xsi:type="dcterms:W3CDTF">2015-06-25T05:25:00Z</dcterms:modified>
</cp:coreProperties>
</file>