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A64CA7" w:rsidRPr="00A64CA7" w:rsidRDefault="00A64CA7" w:rsidP="00A64CA7">
            <w:pPr>
              <w:snapToGrid w:val="0"/>
              <w:spacing w:line="360" w:lineRule="auto"/>
              <w:jc w:val="center"/>
              <w:rPr>
                <w:rFonts w:ascii="宋体" w:eastAsia="宋体" w:hAnsi="宋体"/>
                <w:b/>
                <w:bCs/>
                <w:sz w:val="26"/>
                <w:szCs w:val="26"/>
                <w:lang w:eastAsia="ko-KR"/>
              </w:rPr>
            </w:pPr>
            <w:r w:rsidRPr="00A64CA7">
              <w:rPr>
                <w:rFonts w:ascii="宋体" w:eastAsia="宋体" w:hAnsi="宋体" w:hint="eastAsia"/>
                <w:b/>
                <w:bCs/>
                <w:sz w:val="26"/>
                <w:szCs w:val="26"/>
                <w:lang w:eastAsia="ko-KR"/>
              </w:rPr>
              <w:t>지적재산권 침해 민사사건의 징벌적 손해배상 적용에 관한 최고인민법원의 해석</w:t>
            </w:r>
          </w:p>
          <w:p w:rsidR="00A64CA7" w:rsidRDefault="00A64CA7" w:rsidP="00A64CA7">
            <w:pPr>
              <w:wordWrap w:val="0"/>
              <w:topLinePunct/>
              <w:snapToGrid w:val="0"/>
              <w:spacing w:line="360" w:lineRule="auto"/>
              <w:jc w:val="center"/>
              <w:rPr>
                <w:rFonts w:ascii="Gulim" w:eastAsia="Gulim" w:hAnsi="Gulim" w:hint="eastAsia"/>
                <w:szCs w:val="21"/>
                <w:lang w:eastAsia="ko-KR"/>
              </w:rPr>
            </w:pPr>
            <w:r>
              <w:rPr>
                <w:rFonts w:ascii="Gulim" w:eastAsia="Gulim" w:hAnsi="Gulim" w:cs="Batang" w:hint="eastAsia"/>
                <w:szCs w:val="21"/>
                <w:lang w:eastAsia="ko-KR"/>
              </w:rPr>
              <w:t>법석[2021]4호</w:t>
            </w:r>
          </w:p>
          <w:p w:rsidR="00A64CA7" w:rsidRDefault="00A64CA7" w:rsidP="00A64CA7">
            <w:pPr>
              <w:wordWrap w:val="0"/>
              <w:topLinePunct/>
              <w:snapToGrid w:val="0"/>
              <w:spacing w:line="360" w:lineRule="auto"/>
              <w:rPr>
                <w:rFonts w:ascii="Gulim" w:eastAsia="Gulim" w:hAnsi="Gulim" w:hint="eastAsia"/>
                <w:szCs w:val="21"/>
                <w:lang w:eastAsia="ko-KR"/>
              </w:rPr>
            </w:pPr>
          </w:p>
          <w:p w:rsidR="00A64CA7" w:rsidRDefault="00A64CA7" w:rsidP="00A64CA7">
            <w:pPr>
              <w:wordWrap w:val="0"/>
              <w:topLinePunct/>
              <w:snapToGrid w:val="0"/>
              <w:spacing w:line="360" w:lineRule="auto"/>
              <w:rPr>
                <w:rFonts w:ascii="Gulim" w:eastAsia="Gulim" w:hAnsi="Gulim" w:hint="eastAsia"/>
                <w:szCs w:val="21"/>
                <w:lang w:eastAsia="ko-KR"/>
              </w:rPr>
            </w:pPr>
          </w:p>
          <w:p w:rsidR="00A64CA7" w:rsidRDefault="00A64CA7" w:rsidP="00A64CA7">
            <w:pPr>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&lt;</w:t>
            </w:r>
            <w:r>
              <w:rPr>
                <w:rFonts w:ascii="Gulim" w:eastAsia="Gulim" w:hAnsi="Gulim" w:cs="Batang" w:hint="eastAsia"/>
                <w:szCs w:val="21"/>
                <w:lang w:eastAsia="ko-KR"/>
              </w:rPr>
              <w:t>지적재산권 침해 민사사건의 징벌적 손해배상 적용에 관한 최고인민법원의 해석</w:t>
            </w:r>
            <w:r>
              <w:rPr>
                <w:rFonts w:ascii="Gulim" w:eastAsia="Gulim" w:hAnsi="Gulim" w:hint="eastAsia"/>
                <w:szCs w:val="21"/>
                <w:lang w:eastAsia="ko-KR"/>
              </w:rPr>
              <w:t>&gt;이 2021년 2월 7일 최고인민법원 심판위원회 제1831차 회의에서 통과되어 공포하는 바이며 2021년 3월 3일부터 시행한다.</w:t>
            </w:r>
          </w:p>
          <w:p w:rsidR="00A64CA7" w:rsidRDefault="00A64CA7" w:rsidP="00A64CA7">
            <w:pPr>
              <w:topLinePunct/>
              <w:snapToGrid w:val="0"/>
              <w:spacing w:line="360" w:lineRule="auto"/>
              <w:rPr>
                <w:rFonts w:ascii="Gulim" w:eastAsia="Gulim" w:hAnsi="Gulim" w:hint="eastAsia"/>
                <w:szCs w:val="21"/>
                <w:lang w:eastAsia="ko-KR"/>
              </w:rPr>
            </w:pPr>
          </w:p>
          <w:p w:rsidR="00A64CA7" w:rsidRDefault="00A64CA7" w:rsidP="00A64CA7">
            <w:pPr>
              <w:topLinePunct/>
              <w:snapToGrid w:val="0"/>
              <w:spacing w:line="360" w:lineRule="auto"/>
              <w:jc w:val="right"/>
              <w:rPr>
                <w:rFonts w:ascii="Gulim" w:eastAsia="Gulim" w:hAnsi="Gulim" w:hint="eastAsia"/>
                <w:szCs w:val="21"/>
                <w:lang w:eastAsia="ko-KR"/>
              </w:rPr>
            </w:pPr>
            <w:r>
              <w:rPr>
                <w:rFonts w:ascii="Gulim" w:eastAsia="Gulim" w:hAnsi="Gulim" w:hint="eastAsia"/>
                <w:szCs w:val="21"/>
                <w:lang w:eastAsia="ko-KR"/>
              </w:rPr>
              <w:t>최고인민법원</w:t>
            </w:r>
          </w:p>
          <w:p w:rsidR="00A64CA7" w:rsidRDefault="00A64CA7" w:rsidP="00A64CA7">
            <w:pPr>
              <w:topLinePunct/>
              <w:snapToGrid w:val="0"/>
              <w:spacing w:line="360" w:lineRule="auto"/>
              <w:jc w:val="right"/>
              <w:rPr>
                <w:rFonts w:ascii="Gulim" w:eastAsia="Gulim" w:hAnsi="Gulim" w:hint="eastAsia"/>
                <w:szCs w:val="21"/>
                <w:lang w:eastAsia="ko-KR"/>
              </w:rPr>
            </w:pPr>
            <w:r>
              <w:rPr>
                <w:rFonts w:ascii="Gulim" w:eastAsia="Gulim" w:hAnsi="Gulim" w:hint="eastAsia"/>
                <w:szCs w:val="21"/>
                <w:lang w:eastAsia="ko-KR"/>
              </w:rPr>
              <w:t>2021년 3월 2일</w:t>
            </w:r>
          </w:p>
          <w:p w:rsidR="00A64CA7" w:rsidRDefault="00A64CA7" w:rsidP="00A64CA7">
            <w:pPr>
              <w:topLinePunct/>
              <w:snapToGrid w:val="0"/>
              <w:spacing w:line="360" w:lineRule="auto"/>
              <w:rPr>
                <w:rFonts w:ascii="Gulim" w:eastAsia="Gulim" w:hAnsi="Gulim" w:hint="eastAsia"/>
                <w:szCs w:val="21"/>
                <w:lang w:eastAsia="ko-KR"/>
              </w:rPr>
            </w:pPr>
          </w:p>
          <w:p w:rsidR="00A64CA7" w:rsidRDefault="00A64CA7" w:rsidP="00A64CA7">
            <w:pPr>
              <w:topLinePunct/>
              <w:snapToGrid w:val="0"/>
              <w:spacing w:line="360" w:lineRule="auto"/>
              <w:rPr>
                <w:rFonts w:ascii="Gulim" w:eastAsia="Gulim" w:hAnsi="Gulim" w:hint="eastAsia"/>
                <w:szCs w:val="21"/>
                <w:lang w:eastAsia="ko-KR"/>
              </w:rPr>
            </w:pP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 xml:space="preserve">지적재산권 징벌적 손해배상 제도를 정확하게 실시하고 법에 의거하여 심각한 지적재산권 침해 행위를 징계•처벌하며 지적재산권 보호를 전면 강화하기 위한 목적으로 &lt;중화인민공화국 </w:t>
            </w:r>
            <w:proofErr w:type="spellStart"/>
            <w:r>
              <w:rPr>
                <w:rFonts w:ascii="Gulim" w:eastAsia="Gulim" w:hAnsi="Gulim" w:hint="eastAsia"/>
                <w:szCs w:val="21"/>
                <w:lang w:eastAsia="ko-KR"/>
              </w:rPr>
              <w:t>민법전</w:t>
            </w:r>
            <w:proofErr w:type="spellEnd"/>
            <w:r>
              <w:rPr>
                <w:rFonts w:ascii="Gulim" w:eastAsia="Gulim" w:hAnsi="Gulim" w:hint="eastAsia"/>
                <w:szCs w:val="21"/>
                <w:lang w:eastAsia="ko-KR"/>
              </w:rPr>
              <w:t>&gt;, &lt;중화인민공화국 저작권법&gt;, &lt;중화인민공화국 상표법&gt;, &lt;중화인민공화국 특허법&gt;, &lt;중화인민공화국 부정경쟁방지법&gt;, &lt;중화인민공화국 종자(種子)법&gt;, &lt;중화인민공화국 민사소송법&gt; 등 관련 법률의 규정에 근거하여 심판 실무와 결부시켜 이 해석을 제정한다.</w:t>
            </w:r>
          </w:p>
          <w:p w:rsidR="00A64CA7" w:rsidRDefault="00A64CA7" w:rsidP="00A64CA7">
            <w:pPr>
              <w:topLinePunct/>
              <w:snapToGrid w:val="0"/>
              <w:spacing w:line="360" w:lineRule="auto"/>
              <w:rPr>
                <w:rFonts w:ascii="Gulim" w:eastAsia="Gulim" w:hAnsi="Gulim" w:hint="eastAsia"/>
                <w:szCs w:val="21"/>
                <w:lang w:eastAsia="ko-KR"/>
              </w:rPr>
            </w:pP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원고가 그가 적법하게 보유하고 있는 지적재산권을 피고가 고의적으로 침해하였고 그 정황이 심각함을 주장하면서 피고를 상대로 징벌적 손해배상을 청구하는 경우 인민법원은 응당히 법에 의거하여 심사하고 처리하여야 한</w:t>
            </w:r>
            <w:r>
              <w:rPr>
                <w:rFonts w:ascii="Gulim" w:eastAsia="Gulim" w:hAnsi="Gulim" w:hint="eastAsia"/>
                <w:szCs w:val="21"/>
                <w:lang w:eastAsia="ko-KR"/>
              </w:rPr>
              <w:lastRenderedPageBreak/>
              <w:t>다.</w:t>
            </w:r>
          </w:p>
          <w:p w:rsidR="00A64CA7" w:rsidRDefault="00A64CA7" w:rsidP="00A64CA7">
            <w:pPr>
              <w:pStyle w:val="a4"/>
              <w:wordWrap w:val="0"/>
              <w:topLinePunct/>
              <w:snapToGrid w:val="0"/>
              <w:spacing w:line="360" w:lineRule="auto"/>
              <w:ind w:firstLineChars="0" w:firstLine="0"/>
              <w:rPr>
                <w:rFonts w:ascii="Gulim" w:eastAsia="Gulim" w:hAnsi="Gulim" w:hint="eastAsia"/>
                <w:szCs w:val="21"/>
                <w:lang w:eastAsia="ko-KR"/>
              </w:rPr>
            </w:pPr>
            <w:r>
              <w:rPr>
                <w:rFonts w:ascii="Gulim" w:eastAsia="Gulim" w:hAnsi="Gulim" w:hint="eastAsia"/>
                <w:szCs w:val="21"/>
                <w:lang w:eastAsia="ko-KR"/>
              </w:rPr>
              <w:t>이 해석에서 고의라 함은 상표법 제63조 제1항 및 부정경쟁방지법 제17조 제3항에 규정한 악의를 포함한다.</w:t>
            </w: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징벌적 손해배상을 청구하는 원고는 소송 제기 시 배상금 액수•산정방법, 사실적 근거와 이유를 명시하여야 한다.</w:t>
            </w: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원고가 1심 법정변론이 종결되기 전에 징벌적 손해배상을 추가로 청구하는 경우 인민법원은 응당히 허용하여야 한다. 2심 절차 중에 징벌적 손해배상을 추가로 청구하는 경우 인민법원은 당사자 자원(自愿)의 원칙에 따라 조정 절차를 진행할 수 있으며 조정에 실패한 때에는 당사자에게 별도로 소송을 제기하여야 함을 고지하여야 한다.</w:t>
            </w: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지적재산권 침해의 고의성 여부를 인정함에 있어 인민법원은 피침해 지적재산권의 객체 유형, 권리 상태와 관련 제품의 인지도, 피고와 원고 또는 이해관계자 간의 관계 등 요인을 종합적으로 고려하여 판단하여야 한다.</w:t>
            </w: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다음 각 호의 어느 하나에 해당하는 경우 인민법원은 피고의 지적재산권 침해 행위에 고의성이 있다고 초보적으로 인정할 수 있다.</w:t>
            </w:r>
          </w:p>
          <w:p w:rsidR="00A64CA7" w:rsidRDefault="00A64CA7" w:rsidP="00A64CA7">
            <w:pPr>
              <w:pStyle w:val="a4"/>
              <w:numPr>
                <w:ilvl w:val="0"/>
                <w:numId w:val="29"/>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피고가 원고 또는 이해관계자로부터 통보•경고를 받은 이후에도 권리침해 행위를 지속하는 경우</w:t>
            </w:r>
          </w:p>
          <w:p w:rsidR="00A64CA7" w:rsidRDefault="00A64CA7" w:rsidP="00A64CA7">
            <w:pPr>
              <w:pStyle w:val="a4"/>
              <w:numPr>
                <w:ilvl w:val="0"/>
                <w:numId w:val="29"/>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피고 또는 그 법정대표인•관리인이 원고 또는 이해관계인의 법정대표인•관리인•실질적 지배자인 경우</w:t>
            </w:r>
          </w:p>
          <w:p w:rsidR="00A64CA7" w:rsidRDefault="00A64CA7" w:rsidP="00A64CA7">
            <w:pPr>
              <w:pStyle w:val="a4"/>
              <w:numPr>
                <w:ilvl w:val="0"/>
                <w:numId w:val="29"/>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피고와 원고 또는 이해관계자 간에 노동•노무•합작•허가•판매대리(</w:t>
            </w:r>
            <w:proofErr w:type="spellStart"/>
            <w:r>
              <w:rPr>
                <w:rFonts w:ascii="Gulim" w:eastAsia="Gulim" w:hAnsi="Gulim" w:hint="eastAsia"/>
                <w:szCs w:val="21"/>
                <w:lang w:eastAsia="ko-KR"/>
              </w:rPr>
              <w:t>經銷</w:t>
            </w:r>
            <w:proofErr w:type="spellEnd"/>
            <w:r>
              <w:rPr>
                <w:rFonts w:ascii="Gulim" w:eastAsia="Gulim" w:hAnsi="Gulim" w:hint="eastAsia"/>
                <w:szCs w:val="21"/>
                <w:lang w:eastAsia="ko-KR"/>
              </w:rPr>
              <w:t>)•대리•대표 등 관계가 존재하며 피고가 피침해 지적재산권</w:t>
            </w:r>
            <w:r>
              <w:rPr>
                <w:rFonts w:ascii="Gulim" w:eastAsia="Gulim" w:hAnsi="Gulim" w:hint="eastAsia"/>
                <w:szCs w:val="21"/>
                <w:lang w:eastAsia="ko-KR"/>
              </w:rPr>
              <w:lastRenderedPageBreak/>
              <w:t>을 취급한 적이 있는 경우</w:t>
            </w:r>
          </w:p>
          <w:p w:rsidR="00A64CA7" w:rsidRDefault="00A64CA7" w:rsidP="00A64CA7">
            <w:pPr>
              <w:pStyle w:val="a4"/>
              <w:numPr>
                <w:ilvl w:val="0"/>
                <w:numId w:val="29"/>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피고와 원고 또는 이해관계자 간에 </w:t>
            </w:r>
            <w:proofErr w:type="spellStart"/>
            <w:r>
              <w:rPr>
                <w:rFonts w:ascii="Gulim" w:eastAsia="Gulim" w:hAnsi="Gulim" w:hint="eastAsia"/>
                <w:szCs w:val="21"/>
                <w:lang w:eastAsia="ko-KR"/>
              </w:rPr>
              <w:t>비지니스</w:t>
            </w:r>
            <w:proofErr w:type="spellEnd"/>
            <w:r>
              <w:rPr>
                <w:rFonts w:ascii="Gulim" w:eastAsia="Gulim" w:hAnsi="Gulim" w:hint="eastAsia"/>
                <w:szCs w:val="21"/>
                <w:lang w:eastAsia="ko-KR"/>
              </w:rPr>
              <w:t xml:space="preserve"> 왕래를 한 적이 있거나 계약 등을 위한 협상을 진행한 적이 있으며 피고가 피침해 지적재산권을 취급한 적이 있는 경우</w:t>
            </w:r>
          </w:p>
          <w:p w:rsidR="00A64CA7" w:rsidRDefault="00A64CA7" w:rsidP="00A64CA7">
            <w:pPr>
              <w:pStyle w:val="a4"/>
              <w:numPr>
                <w:ilvl w:val="0"/>
                <w:numId w:val="29"/>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피고가 불법복제, 등록상표 사칭 등 행위를 실시한 경우</w:t>
            </w:r>
          </w:p>
          <w:p w:rsidR="00A64CA7" w:rsidRDefault="00A64CA7" w:rsidP="00A64CA7">
            <w:pPr>
              <w:pStyle w:val="a4"/>
              <w:numPr>
                <w:ilvl w:val="0"/>
                <w:numId w:val="29"/>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고의성을 인정할 수 있는 기타의 경우</w:t>
            </w: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지적재산권 침해의 정황 심각 여부를 인정함에 있어 인민법원은 권리침해 수단•횟수, 권리침해 행위의 지속시간•지역범위•규모•</w:t>
            </w:r>
            <w:proofErr w:type="spellStart"/>
            <w:r>
              <w:rPr>
                <w:rFonts w:ascii="Gulim" w:eastAsia="Gulim" w:hAnsi="Gulim" w:hint="eastAsia"/>
                <w:szCs w:val="21"/>
                <w:lang w:eastAsia="ko-KR"/>
              </w:rPr>
              <w:t>후과</w:t>
            </w:r>
            <w:proofErr w:type="spellEnd"/>
            <w:r>
              <w:rPr>
                <w:rFonts w:ascii="Gulim" w:eastAsia="Gulim" w:hAnsi="Gulim" w:hint="eastAsia"/>
                <w:szCs w:val="21"/>
                <w:lang w:eastAsia="ko-KR"/>
              </w:rPr>
              <w:t>(</w:t>
            </w:r>
            <w:proofErr w:type="spellStart"/>
            <w:r>
              <w:rPr>
                <w:rFonts w:ascii="Gulim" w:eastAsia="Gulim" w:hAnsi="Gulim" w:hint="eastAsia"/>
                <w:szCs w:val="21"/>
                <w:lang w:eastAsia="ko-KR"/>
              </w:rPr>
              <w:t>後果</w:t>
            </w:r>
            <w:proofErr w:type="spellEnd"/>
            <w:r>
              <w:rPr>
                <w:rFonts w:ascii="Gulim" w:eastAsia="Gulim" w:hAnsi="Gulim" w:hint="eastAsia"/>
                <w:szCs w:val="21"/>
                <w:lang w:eastAsia="ko-KR"/>
              </w:rPr>
              <w:t>), 권리침해자의 소송 중 행위 등 요인을 종합적으로 고려하여 판단하여야 한다.</w:t>
            </w: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피고가 다음 각 호의 어느 하나에 해당하는 경우 인민법원은 정황이 심각하다고 인정할 수 있다.</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권리침해 행위로 인해 행정처벌을 받았거나 법원으로부터 책임 부담 판결을 받은 후 다시 동일 또는 유사한 </w:t>
            </w:r>
            <w:proofErr w:type="spellStart"/>
            <w:r>
              <w:rPr>
                <w:rFonts w:ascii="Gulim" w:eastAsia="Gulim" w:hAnsi="Gulim" w:hint="eastAsia"/>
                <w:szCs w:val="21"/>
                <w:lang w:eastAsia="ko-KR"/>
              </w:rPr>
              <w:t>권리침행위를</w:t>
            </w:r>
            <w:proofErr w:type="spellEnd"/>
            <w:r>
              <w:rPr>
                <w:rFonts w:ascii="Gulim" w:eastAsia="Gulim" w:hAnsi="Gulim" w:hint="eastAsia"/>
                <w:szCs w:val="21"/>
                <w:lang w:eastAsia="ko-KR"/>
              </w:rPr>
              <w:t xml:space="preserve"> 행한 경우</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지적재산권 침해가 주업인 경우</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권리침해 증거를 조작•훼손하거나 은닉한 경우</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보전 재정(裁定)의 이행을 거부한 경우</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 xml:space="preserve">권리침해 행위로 인하여 이익을 취하였거나 </w:t>
            </w:r>
            <w:proofErr w:type="spellStart"/>
            <w:r>
              <w:rPr>
                <w:rFonts w:ascii="Gulim" w:eastAsia="Gulim" w:hAnsi="Gulim" w:hint="eastAsia"/>
                <w:szCs w:val="21"/>
                <w:lang w:eastAsia="ko-KR"/>
              </w:rPr>
              <w:t>권리자에게</w:t>
            </w:r>
            <w:proofErr w:type="spellEnd"/>
            <w:r>
              <w:rPr>
                <w:rFonts w:ascii="Gulim" w:eastAsia="Gulim" w:hAnsi="Gulim" w:hint="eastAsia"/>
                <w:szCs w:val="21"/>
                <w:lang w:eastAsia="ko-KR"/>
              </w:rPr>
              <w:t xml:space="preserve"> 막대한 손실을 입힌 경우</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권리침해 행위가 국가안보•공공이익 또는 인체건강을 해칠 수 있을 경우</w:t>
            </w:r>
          </w:p>
          <w:p w:rsidR="00A64CA7" w:rsidRDefault="00A64CA7" w:rsidP="00A64CA7">
            <w:pPr>
              <w:pStyle w:val="a4"/>
              <w:numPr>
                <w:ilvl w:val="0"/>
                <w:numId w:val="30"/>
              </w:numPr>
              <w:wordWrap w:val="0"/>
              <w:topLinePunct/>
              <w:snapToGrid w:val="0"/>
              <w:spacing w:line="360" w:lineRule="auto"/>
              <w:ind w:firstLineChars="0"/>
              <w:rPr>
                <w:rFonts w:ascii="Gulim" w:eastAsia="Gulim" w:hAnsi="Gulim" w:hint="eastAsia"/>
                <w:szCs w:val="21"/>
                <w:lang w:eastAsia="ko-KR"/>
              </w:rPr>
            </w:pPr>
            <w:r>
              <w:rPr>
                <w:rFonts w:ascii="Gulim" w:eastAsia="Gulim" w:hAnsi="Gulim" w:hint="eastAsia"/>
                <w:szCs w:val="21"/>
                <w:lang w:eastAsia="ko-KR"/>
              </w:rPr>
              <w:t>정황이 심각한 것으로 인정할 수 있는 기타의 경우.</w:t>
            </w: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인민법원은 징벌적 손해배상금의 액수를 확정함에 있어 각각 관련 법률에 따라 원고</w:t>
            </w:r>
            <w:r>
              <w:rPr>
                <w:rFonts w:ascii="Gulim" w:eastAsia="Gulim" w:hAnsi="Gulim" w:hint="eastAsia"/>
                <w:szCs w:val="21"/>
                <w:lang w:eastAsia="ko-KR"/>
              </w:rPr>
              <w:lastRenderedPageBreak/>
              <w:t>의 실제 손실액, 피고의 불법 소득액 또는 권리침해 행위로 인해 획득한 이익을 기수(基數)로 삼아 배상금을 산정하여야 한다. 원고가 권리침해를 제지하기 위하여 지불한 합리적인 지출은 해당 기수(寄數)에 포함시키지 아니한다. 법률에 별도의 규정이 있을 경우 그 규정에 따른다.</w:t>
            </w: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 xml:space="preserve">전 항의 실제 손실액, 불법 소득액, 권리침해 행위로 인해 획득한 이익을 산정하기 어려운 경우 인민법원은 법에 의거하여 해당 권리 </w:t>
            </w:r>
            <w:proofErr w:type="spellStart"/>
            <w:r>
              <w:rPr>
                <w:rFonts w:ascii="Gulim" w:eastAsia="Gulim" w:hAnsi="Gulim" w:hint="eastAsia"/>
                <w:szCs w:val="21"/>
                <w:lang w:eastAsia="ko-KR"/>
              </w:rPr>
              <w:t>실시료의</w:t>
            </w:r>
            <w:proofErr w:type="spellEnd"/>
            <w:r>
              <w:rPr>
                <w:rFonts w:ascii="Gulim" w:eastAsia="Gulim" w:hAnsi="Gulim" w:hint="eastAsia"/>
                <w:szCs w:val="21"/>
                <w:lang w:eastAsia="ko-KR"/>
              </w:rPr>
              <w:t xml:space="preserve"> 배수(倍數)를 참조하여 합리적으로 확정하며 그 금액을 기수(基數)로 삼아 징벌적 손해배상금을 산정한다.</w:t>
            </w: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인민법원이 피고에게 그가 확보한 권리침해 관련 회계장부•자료의 제공을 명한 후 피고가 정당한 사유 없이 제공하지 아니하거나 조작된 회계장부•자료를 제공하는 경우 인민법원은 원고의 주장과 증거를 참고하여 징벌적 손해배상금 액수 산정의 기수(基數)를 확정할 수 있다. 민사소송법 제 111조에 규정한 상황에 해당하는 경우 법에 의거하여 법률책임을 추궁한다.</w:t>
            </w: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인민법원은 법에 의거하여 징벌적 손해배상의 배수(倍數)를 산정함에 있어 피고의 주관상 과실의 크기, 권리침해 행위의 정황 심각성 등 요인을 종합적으로 고려하여야 한다.</w:t>
            </w:r>
          </w:p>
          <w:p w:rsidR="00A64CA7" w:rsidRDefault="00A64CA7" w:rsidP="00A64CA7">
            <w:pPr>
              <w:wordWrap w:val="0"/>
              <w:topLinePunct/>
              <w:snapToGrid w:val="0"/>
              <w:spacing w:line="360" w:lineRule="auto"/>
              <w:rPr>
                <w:rFonts w:ascii="Gulim" w:eastAsia="Gulim" w:hAnsi="Gulim" w:hint="eastAsia"/>
                <w:szCs w:val="21"/>
                <w:lang w:eastAsia="ko-KR"/>
              </w:rPr>
            </w:pPr>
            <w:r>
              <w:rPr>
                <w:rFonts w:ascii="Gulim" w:eastAsia="Gulim" w:hAnsi="Gulim" w:hint="eastAsia"/>
                <w:szCs w:val="21"/>
                <w:lang w:eastAsia="ko-KR"/>
              </w:rPr>
              <w:t>동일 권리침해 행위로 인해 이미 행정처벌을 받았거나 벌금형 집행 완료 후 피고가 징벌적 손해배상 책임의 감면을 주장하는 경우 인민법원은 지지하지 아니한다. 단, 전 항의 배수(倍數) 확정 시 종합적으로 고려할 수 있다.</w:t>
            </w:r>
          </w:p>
          <w:p w:rsidR="00A64CA7" w:rsidRDefault="00A64CA7" w:rsidP="00A64CA7">
            <w:pPr>
              <w:pStyle w:val="a4"/>
              <w:numPr>
                <w:ilvl w:val="0"/>
                <w:numId w:val="28"/>
              </w:numPr>
              <w:wordWrap w:val="0"/>
              <w:topLinePunct/>
              <w:snapToGrid w:val="0"/>
              <w:spacing w:line="360" w:lineRule="auto"/>
              <w:ind w:left="0" w:firstLineChars="0" w:firstLine="0"/>
              <w:rPr>
                <w:rFonts w:ascii="Gulim" w:eastAsia="Gulim" w:hAnsi="Gulim" w:hint="eastAsia"/>
                <w:szCs w:val="21"/>
                <w:lang w:eastAsia="ko-KR"/>
              </w:rPr>
            </w:pPr>
            <w:r>
              <w:rPr>
                <w:rFonts w:ascii="Gulim" w:eastAsia="Gulim" w:hAnsi="Gulim" w:hint="eastAsia"/>
                <w:szCs w:val="21"/>
                <w:lang w:eastAsia="ko-KR"/>
              </w:rPr>
              <w:t>이 해석은 2021년 3월 3일부터 시행한다. 이 해석이 시행되기 전에 최고인민법원</w:t>
            </w:r>
            <w:r>
              <w:rPr>
                <w:rFonts w:ascii="Gulim" w:eastAsia="Gulim" w:hAnsi="Gulim" w:hint="eastAsia"/>
                <w:szCs w:val="21"/>
                <w:lang w:eastAsia="ko-KR"/>
              </w:rPr>
              <w:lastRenderedPageBreak/>
              <w:t>이 발표한 사법해석과 이 해석의 내용이 불일치한 경우 이 해석을 기준으로 한다.</w:t>
            </w:r>
          </w:p>
          <w:p w:rsidR="00DB5008" w:rsidRPr="00E27A28" w:rsidRDefault="00DB5008" w:rsidP="00D4574E">
            <w:pPr>
              <w:wordWrap w:val="0"/>
              <w:topLinePunct/>
              <w:snapToGrid w:val="0"/>
              <w:spacing w:line="360" w:lineRule="auto"/>
              <w:jc w:val="right"/>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A64CA7" w:rsidRPr="00A64CA7" w:rsidRDefault="00A64CA7" w:rsidP="00A64CA7">
            <w:pPr>
              <w:snapToGrid w:val="0"/>
              <w:spacing w:line="360" w:lineRule="auto"/>
              <w:jc w:val="center"/>
              <w:rPr>
                <w:rFonts w:ascii="宋体" w:eastAsia="宋体" w:hAnsi="宋体"/>
                <w:b/>
                <w:bCs/>
                <w:sz w:val="26"/>
                <w:szCs w:val="26"/>
                <w:lang w:eastAsia="ko-KR"/>
              </w:rPr>
            </w:pPr>
            <w:r w:rsidRPr="00A64CA7">
              <w:rPr>
                <w:rFonts w:ascii="宋体" w:eastAsia="宋体" w:hAnsi="宋体" w:hint="eastAsia"/>
                <w:b/>
                <w:bCs/>
                <w:sz w:val="26"/>
                <w:szCs w:val="26"/>
                <w:lang w:eastAsia="ko-KR"/>
              </w:rPr>
              <w:t>最高人民</w:t>
            </w:r>
            <w:bookmarkStart w:id="0" w:name="_GoBack"/>
            <w:bookmarkEnd w:id="0"/>
            <w:r w:rsidRPr="00A64CA7">
              <w:rPr>
                <w:rFonts w:ascii="宋体" w:eastAsia="宋体" w:hAnsi="宋体" w:hint="eastAsia"/>
                <w:b/>
                <w:bCs/>
                <w:sz w:val="26"/>
                <w:szCs w:val="26"/>
                <w:lang w:eastAsia="ko-KR"/>
              </w:rPr>
              <w:t>法院</w:t>
            </w:r>
          </w:p>
          <w:p w:rsidR="00A64CA7" w:rsidRPr="00A64CA7" w:rsidRDefault="00A64CA7" w:rsidP="00A64CA7">
            <w:pPr>
              <w:snapToGrid w:val="0"/>
              <w:spacing w:line="360" w:lineRule="auto"/>
              <w:jc w:val="center"/>
              <w:rPr>
                <w:rFonts w:ascii="宋体" w:eastAsia="宋体" w:hAnsi="宋体" w:hint="eastAsia"/>
                <w:b/>
                <w:bCs/>
                <w:sz w:val="26"/>
                <w:szCs w:val="26"/>
                <w:lang w:eastAsia="ko-KR"/>
              </w:rPr>
            </w:pPr>
            <w:r w:rsidRPr="00A64CA7">
              <w:rPr>
                <w:rFonts w:ascii="宋体" w:eastAsia="宋体" w:hAnsi="宋体" w:hint="eastAsia"/>
                <w:b/>
                <w:bCs/>
                <w:sz w:val="26"/>
                <w:szCs w:val="26"/>
                <w:lang w:eastAsia="ko-KR"/>
              </w:rPr>
              <w:t>关于审理侵害知识产权民事案件适用</w:t>
            </w:r>
          </w:p>
          <w:p w:rsidR="00A64CA7" w:rsidRPr="00A64CA7" w:rsidRDefault="00A64CA7" w:rsidP="00A64CA7">
            <w:pPr>
              <w:snapToGrid w:val="0"/>
              <w:spacing w:line="360" w:lineRule="auto"/>
              <w:jc w:val="center"/>
              <w:rPr>
                <w:rFonts w:ascii="宋体" w:eastAsia="宋体" w:hAnsi="宋体" w:hint="eastAsia"/>
                <w:b/>
                <w:bCs/>
                <w:sz w:val="26"/>
                <w:szCs w:val="26"/>
                <w:lang w:eastAsia="ko-KR"/>
              </w:rPr>
            </w:pPr>
            <w:r w:rsidRPr="00A64CA7">
              <w:rPr>
                <w:rFonts w:ascii="宋体" w:eastAsia="宋体" w:hAnsi="宋体" w:hint="eastAsia"/>
                <w:b/>
                <w:bCs/>
                <w:sz w:val="26"/>
                <w:szCs w:val="26"/>
                <w:lang w:eastAsia="ko-KR"/>
              </w:rPr>
              <w:t>惩罚性赔偿的解释</w:t>
            </w:r>
          </w:p>
          <w:p w:rsidR="00A64CA7" w:rsidRDefault="00A64CA7" w:rsidP="00A64CA7">
            <w:pPr>
              <w:wordWrap w:val="0"/>
              <w:topLinePunct/>
              <w:snapToGrid w:val="0"/>
              <w:spacing w:line="360" w:lineRule="auto"/>
              <w:jc w:val="center"/>
              <w:rPr>
                <w:rFonts w:ascii="宋体" w:eastAsia="宋体" w:hAnsi="宋体" w:hint="eastAsia"/>
                <w:szCs w:val="21"/>
              </w:rPr>
            </w:pPr>
            <w:r>
              <w:rPr>
                <w:rFonts w:ascii="宋体" w:eastAsia="宋体" w:hAnsi="宋体" w:hint="eastAsia"/>
                <w:szCs w:val="21"/>
              </w:rPr>
              <w:t>法释〔2021〕4号</w:t>
            </w:r>
          </w:p>
          <w:p w:rsidR="00A64CA7" w:rsidRDefault="00A64CA7" w:rsidP="00A64CA7">
            <w:pPr>
              <w:wordWrap w:val="0"/>
              <w:topLinePunct/>
              <w:snapToGrid w:val="0"/>
              <w:spacing w:line="360" w:lineRule="auto"/>
              <w:rPr>
                <w:rFonts w:ascii="宋体" w:eastAsia="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《最高人民法院关于审理侵害知识产权民事案件适用惩罚性赔偿的解释》已于2021年2月7日由最高人民法院审判委员会第1831次会议通过，现予公布，自2021年3月3日起施行。</w:t>
            </w:r>
          </w:p>
          <w:p w:rsidR="00A64CA7" w:rsidRDefault="00A64CA7" w:rsidP="00A64CA7">
            <w:pPr>
              <w:wordWrap w:val="0"/>
              <w:topLinePunct/>
              <w:snapToGrid w:val="0"/>
              <w:spacing w:line="360" w:lineRule="auto"/>
              <w:rPr>
                <w:rFonts w:ascii="宋体" w:eastAsia="宋体" w:hAnsi="宋体" w:hint="eastAsia"/>
                <w:szCs w:val="21"/>
              </w:rPr>
            </w:pPr>
          </w:p>
          <w:p w:rsidR="00A64CA7" w:rsidRDefault="00A64CA7" w:rsidP="00A64CA7">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 xml:space="preserve">　　最高人民法院</w:t>
            </w:r>
          </w:p>
          <w:p w:rsidR="00A64CA7" w:rsidRDefault="00A64CA7" w:rsidP="00A64CA7">
            <w:pPr>
              <w:wordWrap w:val="0"/>
              <w:topLinePunct/>
              <w:snapToGrid w:val="0"/>
              <w:spacing w:line="360" w:lineRule="auto"/>
              <w:jc w:val="right"/>
              <w:rPr>
                <w:rFonts w:ascii="宋体" w:eastAsia="宋体" w:hAnsi="宋体" w:hint="eastAsia"/>
                <w:szCs w:val="21"/>
              </w:rPr>
            </w:pPr>
            <w:r>
              <w:rPr>
                <w:rFonts w:ascii="宋体" w:eastAsia="宋体" w:hAnsi="宋体" w:hint="eastAsia"/>
                <w:szCs w:val="21"/>
              </w:rPr>
              <w:t xml:space="preserve">　　2021年3月2日</w:t>
            </w:r>
          </w:p>
          <w:p w:rsidR="00A64CA7" w:rsidRDefault="00A64CA7" w:rsidP="00A64CA7">
            <w:pPr>
              <w:wordWrap w:val="0"/>
              <w:topLinePunct/>
              <w:snapToGrid w:val="0"/>
              <w:spacing w:line="360" w:lineRule="auto"/>
              <w:rPr>
                <w:rFonts w:ascii="宋体" w:eastAsia="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为正确实施知识产权惩罚性赔偿制度，依法惩处严重侵害知识产权行为，全面加强知识产权保护，根据《中华人民共和国民法典》《中华人民共和国著作权法》《中华人民共和国商标法》《中华人民共和国专利法》《中华人民共和国反不正当竞争法》《中华人民共和国种子法》《中华人民共和国民事诉讼法》等有关法律规定，结合审判实践，制定本解释。</w:t>
            </w:r>
          </w:p>
          <w:p w:rsidR="00A64CA7" w:rsidRDefault="00A64CA7" w:rsidP="00A64CA7">
            <w:pPr>
              <w:wordWrap w:val="0"/>
              <w:topLinePunct/>
              <w:snapToGrid w:val="0"/>
              <w:spacing w:line="360" w:lineRule="auto"/>
              <w:rPr>
                <w:rFonts w:ascii="宋体" w:eastAsia="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第一条</w:t>
            </w:r>
            <w:r>
              <w:rPr>
                <w:rFonts w:ascii="宋体" w:eastAsia="Malgun Gothic" w:hAnsi="宋体" w:hint="eastAsia"/>
                <w:szCs w:val="21"/>
              </w:rPr>
              <w:t xml:space="preserve"> </w:t>
            </w:r>
            <w:r>
              <w:rPr>
                <w:rFonts w:ascii="宋体" w:eastAsia="宋体" w:hAnsi="宋体" w:hint="eastAsia"/>
                <w:szCs w:val="21"/>
              </w:rPr>
              <w:t>原告主张被告故意侵害其依法享有的知识产权且情节严重，请求判令被告承担惩罚性赔偿责任的，人民法院应当依法审查处理。</w:t>
            </w:r>
          </w:p>
          <w:p w:rsidR="00A64CA7" w:rsidRDefault="00A64CA7" w:rsidP="00A64CA7">
            <w:pPr>
              <w:wordWrap w:val="0"/>
              <w:topLinePunct/>
              <w:snapToGrid w:val="0"/>
              <w:spacing w:line="360" w:lineRule="auto"/>
              <w:ind w:firstLine="450"/>
              <w:rPr>
                <w:rFonts w:ascii="宋体" w:hAnsi="宋体" w:hint="eastAsia"/>
                <w:szCs w:val="21"/>
              </w:rPr>
            </w:pPr>
            <w:r>
              <w:rPr>
                <w:rFonts w:ascii="宋体" w:eastAsia="宋体" w:hAnsi="宋体" w:hint="eastAsia"/>
                <w:szCs w:val="21"/>
              </w:rPr>
              <w:lastRenderedPageBreak/>
              <w:t>本解释所称故意，包括商标法第六十三条第一款和反不正当竞争法第十七条第三款规定的恶意。</w:t>
            </w:r>
          </w:p>
          <w:p w:rsidR="00A64CA7" w:rsidRPr="00A64CA7" w:rsidRDefault="00A64CA7" w:rsidP="00A64CA7">
            <w:pPr>
              <w:wordWrap w:val="0"/>
              <w:topLinePunct/>
              <w:snapToGrid w:val="0"/>
              <w:spacing w:line="360" w:lineRule="auto"/>
              <w:ind w:firstLine="450"/>
              <w:rPr>
                <w:rFonts w:ascii="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第二条</w:t>
            </w:r>
            <w:r>
              <w:rPr>
                <w:rFonts w:ascii="宋体" w:eastAsia="Malgun Gothic" w:hAnsi="宋体" w:hint="eastAsia"/>
                <w:szCs w:val="21"/>
              </w:rPr>
              <w:t xml:space="preserve"> </w:t>
            </w:r>
            <w:r>
              <w:rPr>
                <w:rFonts w:ascii="宋体" w:eastAsia="宋体" w:hAnsi="宋体" w:hint="eastAsia"/>
                <w:szCs w:val="21"/>
              </w:rPr>
              <w:t>原告请求惩罚性赔偿的，应当在起诉时明确赔偿数额、计算方式以及所依据的事实和理由。</w:t>
            </w:r>
          </w:p>
          <w:p w:rsidR="00A64CA7" w:rsidRDefault="00A64CA7" w:rsidP="00A64CA7">
            <w:pPr>
              <w:wordWrap w:val="0"/>
              <w:topLinePunct/>
              <w:snapToGrid w:val="0"/>
              <w:spacing w:line="360" w:lineRule="auto"/>
              <w:ind w:firstLine="450"/>
              <w:rPr>
                <w:rFonts w:ascii="宋体" w:hAnsi="宋体" w:hint="eastAsia"/>
                <w:szCs w:val="21"/>
              </w:rPr>
            </w:pPr>
            <w:r>
              <w:rPr>
                <w:rFonts w:ascii="宋体" w:eastAsia="宋体" w:hAnsi="宋体" w:hint="eastAsia"/>
                <w:szCs w:val="21"/>
              </w:rPr>
              <w:t>原告在一审法庭辩论终结前增加惩罚性赔偿请求的，人民法院应当准许；在二审中增加惩罚性赔偿请求的，人民法院可以根据当事人自愿的原则进行调解，调解不成的，告知当事人另行起诉。</w:t>
            </w:r>
          </w:p>
          <w:p w:rsidR="00A64CA7" w:rsidRDefault="00A64CA7" w:rsidP="00A64CA7">
            <w:pPr>
              <w:wordWrap w:val="0"/>
              <w:topLinePunct/>
              <w:snapToGrid w:val="0"/>
              <w:spacing w:line="360" w:lineRule="auto"/>
              <w:ind w:firstLine="450"/>
              <w:rPr>
                <w:rFonts w:ascii="宋体" w:hAnsi="宋体" w:hint="eastAsia"/>
                <w:szCs w:val="21"/>
                <w:lang w:eastAsia="ko-KR"/>
              </w:rPr>
            </w:pPr>
          </w:p>
          <w:p w:rsidR="00A64CA7" w:rsidRPr="00A64CA7" w:rsidRDefault="00A64CA7" w:rsidP="00A64CA7">
            <w:pPr>
              <w:wordWrap w:val="0"/>
              <w:topLinePunct/>
              <w:snapToGrid w:val="0"/>
              <w:spacing w:line="360" w:lineRule="auto"/>
              <w:ind w:firstLine="450"/>
              <w:rPr>
                <w:rFonts w:ascii="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第三条</w:t>
            </w:r>
            <w:r>
              <w:rPr>
                <w:rFonts w:ascii="宋体" w:eastAsia="Malgun Gothic" w:hAnsi="宋体" w:hint="eastAsia"/>
                <w:szCs w:val="21"/>
              </w:rPr>
              <w:t xml:space="preserve"> </w:t>
            </w:r>
            <w:r>
              <w:rPr>
                <w:rFonts w:ascii="宋体" w:eastAsia="宋体" w:hAnsi="宋体" w:hint="eastAsia"/>
                <w:szCs w:val="21"/>
              </w:rPr>
              <w:t>对于侵害知识产权的故意的认定，人民法院应当综合考虑被侵害知识产权客体类型、权利状态和相关产品知名度、被告与原告或者利害关系人之间的关系等因素。</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对于下列情形，人民法院可以初步认定被告具有侵害知识产权的故意：</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（一）被告经原告或者利害关系人通知、警告后，仍继续实施侵权行为的；</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（二）被告或其法定代表人、管理人是原告或者利害关系人的法定代表人、管理人、实际控制人的；</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（三）被告与原告或者利害关系人之间存在劳动、劳务、合作、许可、经销、代理、代表等关系，且接触过被侵害的知识产权的；</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lastRenderedPageBreak/>
              <w:t xml:space="preserve">　　（四）被告与原告或者利害关系人之间有业务往来或者为达成合同等进行过磋商，且接触过被侵害的知识产权的；</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（五）被告实施盗版、假冒注册商标行为的；</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（六）其他可以认定为故意的情形。</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第四条</w:t>
            </w:r>
            <w:r>
              <w:rPr>
                <w:rFonts w:ascii="宋体" w:eastAsia="Malgun Gothic" w:hAnsi="宋体" w:hint="eastAsia"/>
                <w:szCs w:val="21"/>
              </w:rPr>
              <w:t xml:space="preserve"> </w:t>
            </w:r>
            <w:r>
              <w:rPr>
                <w:rFonts w:ascii="宋体" w:eastAsia="宋体" w:hAnsi="宋体" w:hint="eastAsia"/>
                <w:szCs w:val="21"/>
              </w:rPr>
              <w:t>对于侵害知识产权情节严重的认定，人民法院应当综合考虑侵权手段、次数，侵权行为的持续时间、地域范围、规模、后果，侵权人在诉讼中的行为等因素。</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被告有下列情形的，人民法院可以认定为情节严重：</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（一）因侵权被行政处罚或者法院裁判承担责任后，再次实施相同或者类似侵权行为；</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（二）以侵害知识产权为业；</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（三）伪造、毁坏或者隐匿侵权证据；</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（四）拒不履行保全裁定；</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（五）侵权获利或者权利人受损巨大；</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（六）侵权行为可能危害国家安全、公共利益或者人身健康；</w:t>
            </w:r>
          </w:p>
          <w:p w:rsidR="00A64CA7" w:rsidRDefault="00A64CA7" w:rsidP="00A64CA7">
            <w:pPr>
              <w:wordWrap w:val="0"/>
              <w:topLinePunct/>
              <w:snapToGrid w:val="0"/>
              <w:spacing w:line="360" w:lineRule="auto"/>
              <w:ind w:firstLine="450"/>
              <w:rPr>
                <w:rFonts w:ascii="宋体" w:hAnsi="宋体" w:hint="eastAsia"/>
                <w:szCs w:val="21"/>
              </w:rPr>
            </w:pPr>
            <w:r>
              <w:rPr>
                <w:rFonts w:ascii="宋体" w:eastAsia="宋体" w:hAnsi="宋体" w:hint="eastAsia"/>
                <w:szCs w:val="21"/>
              </w:rPr>
              <w:t>（七）其他可以认定为情节严重的情形。</w:t>
            </w:r>
          </w:p>
          <w:p w:rsidR="00A64CA7" w:rsidRDefault="00A64CA7" w:rsidP="00A64CA7">
            <w:pPr>
              <w:wordWrap w:val="0"/>
              <w:topLinePunct/>
              <w:snapToGrid w:val="0"/>
              <w:spacing w:line="360" w:lineRule="auto"/>
              <w:ind w:firstLine="450"/>
              <w:rPr>
                <w:rFonts w:ascii="宋体" w:hAnsi="宋体" w:hint="eastAsia"/>
                <w:szCs w:val="21"/>
                <w:lang w:eastAsia="ko-KR"/>
              </w:rPr>
            </w:pPr>
          </w:p>
          <w:p w:rsidR="00A64CA7" w:rsidRPr="00A64CA7" w:rsidRDefault="00A64CA7" w:rsidP="00A64CA7">
            <w:pPr>
              <w:wordWrap w:val="0"/>
              <w:topLinePunct/>
              <w:snapToGrid w:val="0"/>
              <w:spacing w:line="360" w:lineRule="auto"/>
              <w:ind w:firstLine="450"/>
              <w:rPr>
                <w:rFonts w:ascii="宋体" w:hAnsi="宋体" w:hint="eastAsia"/>
                <w:szCs w:val="21"/>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第五条</w:t>
            </w:r>
            <w:r>
              <w:rPr>
                <w:rFonts w:ascii="宋体" w:eastAsia="Malgun Gothic" w:hAnsi="宋体" w:hint="eastAsia"/>
                <w:szCs w:val="21"/>
              </w:rPr>
              <w:t xml:space="preserve"> </w:t>
            </w:r>
            <w:r>
              <w:rPr>
                <w:rFonts w:ascii="宋体" w:eastAsia="宋体" w:hAnsi="宋体" w:hint="eastAsia"/>
                <w:szCs w:val="21"/>
              </w:rPr>
              <w:t>人民法院确定惩罚性赔偿数额时，应当分别依照相关法律，以原告</w:t>
            </w:r>
            <w:r>
              <w:rPr>
                <w:rFonts w:ascii="宋体" w:eastAsia="宋体" w:hAnsi="宋体" w:hint="eastAsia"/>
                <w:szCs w:val="21"/>
              </w:rPr>
              <w:lastRenderedPageBreak/>
              <w:t>实际损失数额、被告违法所得数额或者因侵权所获得的利益作为计算基数。该基数不包括原告为制止侵权所支付的合理开支；法律另有规定的，依照其规定。</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前款所称实际损失数额、违法所得数额、因侵权所获得的利益均难以计算的，人民法院依法参照该权利许可使用费的倍数合理确定，并以此作为惩罚性赔偿数额的计算基数。</w:t>
            </w:r>
          </w:p>
          <w:p w:rsidR="00A64CA7" w:rsidRDefault="00A64CA7" w:rsidP="00A64CA7">
            <w:pPr>
              <w:wordWrap w:val="0"/>
              <w:topLinePunct/>
              <w:snapToGrid w:val="0"/>
              <w:spacing w:line="360" w:lineRule="auto"/>
              <w:ind w:firstLine="450"/>
              <w:rPr>
                <w:rFonts w:ascii="宋体" w:hAnsi="宋体" w:hint="eastAsia"/>
                <w:szCs w:val="21"/>
                <w:lang w:eastAsia="ko-KR"/>
              </w:rPr>
            </w:pPr>
            <w:r>
              <w:rPr>
                <w:rFonts w:ascii="宋体" w:eastAsia="宋体" w:hAnsi="宋体" w:hint="eastAsia"/>
                <w:szCs w:val="21"/>
              </w:rPr>
              <w:t>人民法院依法责令被告提供其掌握的与侵权行为相关的账簿、资料，被告无正当理由拒不提供或者提供虚假账簿、资料的，人民法院可以参考原告的主张和证据确定惩罚性赔偿数额的计算基数。构成民事诉讼法第一百一十一条规定情形的，依法追究法律责任。</w:t>
            </w:r>
          </w:p>
          <w:p w:rsidR="00A64CA7" w:rsidRDefault="00A64CA7" w:rsidP="00A64CA7">
            <w:pPr>
              <w:wordWrap w:val="0"/>
              <w:topLinePunct/>
              <w:snapToGrid w:val="0"/>
              <w:spacing w:line="360" w:lineRule="auto"/>
              <w:ind w:firstLine="450"/>
              <w:rPr>
                <w:rFonts w:ascii="宋体" w:hAnsi="宋体" w:hint="eastAsia"/>
                <w:szCs w:val="21"/>
                <w:lang w:eastAsia="ko-KR"/>
              </w:rPr>
            </w:pPr>
          </w:p>
          <w:p w:rsidR="00A64CA7" w:rsidRDefault="00A64CA7" w:rsidP="00A64CA7">
            <w:pPr>
              <w:wordWrap w:val="0"/>
              <w:topLinePunct/>
              <w:snapToGrid w:val="0"/>
              <w:spacing w:line="360" w:lineRule="auto"/>
              <w:ind w:firstLine="450"/>
              <w:rPr>
                <w:rFonts w:ascii="宋体" w:hAnsi="宋体" w:hint="eastAsia"/>
                <w:szCs w:val="21"/>
                <w:lang w:eastAsia="ko-KR"/>
              </w:rPr>
            </w:pPr>
          </w:p>
          <w:p w:rsidR="00A64CA7" w:rsidRDefault="00A64CA7" w:rsidP="00A64CA7">
            <w:pPr>
              <w:wordWrap w:val="0"/>
              <w:topLinePunct/>
              <w:snapToGrid w:val="0"/>
              <w:spacing w:line="360" w:lineRule="auto"/>
              <w:ind w:firstLine="450"/>
              <w:rPr>
                <w:rFonts w:ascii="宋体" w:hAnsi="宋体" w:hint="eastAsia"/>
                <w:szCs w:val="21"/>
                <w:lang w:eastAsia="ko-KR"/>
              </w:rPr>
            </w:pPr>
          </w:p>
          <w:p w:rsidR="00A64CA7" w:rsidRPr="00A64CA7" w:rsidRDefault="00A64CA7" w:rsidP="00A64CA7">
            <w:pPr>
              <w:wordWrap w:val="0"/>
              <w:topLinePunct/>
              <w:snapToGrid w:val="0"/>
              <w:spacing w:line="360" w:lineRule="auto"/>
              <w:ind w:firstLine="450"/>
              <w:rPr>
                <w:rFonts w:ascii="宋体" w:hAnsi="宋体" w:hint="eastAsia"/>
                <w:szCs w:val="21"/>
                <w:lang w:eastAsia="ko-KR"/>
              </w:rPr>
            </w:pP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第六条</w:t>
            </w:r>
            <w:r>
              <w:rPr>
                <w:rFonts w:ascii="宋体" w:eastAsia="Malgun Gothic" w:hAnsi="宋体" w:hint="eastAsia"/>
                <w:szCs w:val="21"/>
              </w:rPr>
              <w:t xml:space="preserve"> </w:t>
            </w:r>
            <w:r>
              <w:rPr>
                <w:rFonts w:ascii="宋体" w:eastAsia="宋体" w:hAnsi="宋体" w:hint="eastAsia"/>
                <w:szCs w:val="21"/>
              </w:rPr>
              <w:t>人民法院依法确定惩罚性赔偿的倍数时，应当综合考虑被告主观过错程度、侵权行为的情节严重程度等因素。</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因同一侵权行为已经被处以行政罚款或者刑事罚金且执行完毕，被告主张减免惩罚性赔偿责任的，人民法院不予支持，但在确定前款所称倍数时可以综合考虑。</w:t>
            </w:r>
          </w:p>
          <w:p w:rsidR="00A64CA7" w:rsidRDefault="00A64CA7" w:rsidP="00A64CA7">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第七条</w:t>
            </w:r>
            <w:r>
              <w:rPr>
                <w:rFonts w:ascii="宋体" w:eastAsia="Malgun Gothic" w:hAnsi="宋体" w:hint="eastAsia"/>
                <w:szCs w:val="21"/>
              </w:rPr>
              <w:t xml:space="preserve"> </w:t>
            </w:r>
            <w:r>
              <w:rPr>
                <w:rFonts w:ascii="宋体" w:eastAsia="宋体" w:hAnsi="宋体" w:hint="eastAsia"/>
                <w:szCs w:val="21"/>
              </w:rPr>
              <w:t>本解释自2021年3月3日起施行。最高人民法院以前发布的相关</w:t>
            </w:r>
            <w:r>
              <w:rPr>
                <w:rFonts w:ascii="宋体" w:eastAsia="宋体" w:hAnsi="宋体" w:hint="eastAsia"/>
                <w:szCs w:val="21"/>
              </w:rPr>
              <w:lastRenderedPageBreak/>
              <w:t>司法解释与本解释不一致的，以本解释为准。</w:t>
            </w:r>
          </w:p>
          <w:p w:rsidR="00DB5008" w:rsidRPr="00A64CA7" w:rsidRDefault="00DB5008" w:rsidP="00D4574E">
            <w:pPr>
              <w:snapToGrid w:val="0"/>
              <w:spacing w:line="36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12" w:rsidRDefault="00DF2F12" w:rsidP="00C278F4">
      <w:r>
        <w:separator/>
      </w:r>
    </w:p>
  </w:endnote>
  <w:endnote w:type="continuationSeparator" w:id="0">
    <w:p w:rsidR="00DF2F12" w:rsidRDefault="00DF2F1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12" w:rsidRDefault="00DF2F12" w:rsidP="00C278F4">
      <w:r>
        <w:separator/>
      </w:r>
    </w:p>
  </w:footnote>
  <w:footnote w:type="continuationSeparator" w:id="0">
    <w:p w:rsidR="00DF2F12" w:rsidRDefault="00DF2F1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35053CA2"/>
    <w:multiLevelType w:val="hybridMultilevel"/>
    <w:tmpl w:val="0302AE3C"/>
    <w:lvl w:ilvl="0" w:tplc="F12A9C2E">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6">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C107E3"/>
    <w:multiLevelType w:val="hybridMultilevel"/>
    <w:tmpl w:val="21262D48"/>
    <w:lvl w:ilvl="0" w:tplc="B164F33C">
      <w:start w:val="1"/>
      <w:numFmt w:val="decimal"/>
      <w:lvlText w:val="제%1조"/>
      <w:lvlJc w:val="left"/>
      <w:pPr>
        <w:ind w:left="524" w:hanging="420"/>
      </w:pPr>
      <w:rPr>
        <w:b/>
        <w:bCs/>
      </w:rPr>
    </w:lvl>
    <w:lvl w:ilvl="1" w:tplc="04090019">
      <w:start w:val="1"/>
      <w:numFmt w:val="lowerLetter"/>
      <w:lvlText w:val="%2)"/>
      <w:lvlJc w:val="left"/>
      <w:pPr>
        <w:ind w:left="944" w:hanging="420"/>
      </w:pPr>
    </w:lvl>
    <w:lvl w:ilvl="2" w:tplc="0409001B">
      <w:start w:val="1"/>
      <w:numFmt w:val="lowerRoman"/>
      <w:lvlText w:val="%3."/>
      <w:lvlJc w:val="right"/>
      <w:pPr>
        <w:ind w:left="1364" w:hanging="420"/>
      </w:pPr>
    </w:lvl>
    <w:lvl w:ilvl="3" w:tplc="0409000F">
      <w:start w:val="1"/>
      <w:numFmt w:val="decimal"/>
      <w:lvlText w:val="%4."/>
      <w:lvlJc w:val="left"/>
      <w:pPr>
        <w:ind w:left="1784" w:hanging="420"/>
      </w:pPr>
    </w:lvl>
    <w:lvl w:ilvl="4" w:tplc="04090019">
      <w:start w:val="1"/>
      <w:numFmt w:val="lowerLetter"/>
      <w:lvlText w:val="%5)"/>
      <w:lvlJc w:val="left"/>
      <w:pPr>
        <w:ind w:left="2204" w:hanging="420"/>
      </w:pPr>
    </w:lvl>
    <w:lvl w:ilvl="5" w:tplc="0409001B">
      <w:start w:val="1"/>
      <w:numFmt w:val="lowerRoman"/>
      <w:lvlText w:val="%6."/>
      <w:lvlJc w:val="right"/>
      <w:pPr>
        <w:ind w:left="2624" w:hanging="420"/>
      </w:pPr>
    </w:lvl>
    <w:lvl w:ilvl="6" w:tplc="0409000F">
      <w:start w:val="1"/>
      <w:numFmt w:val="decimal"/>
      <w:lvlText w:val="%7."/>
      <w:lvlJc w:val="left"/>
      <w:pPr>
        <w:ind w:left="3044" w:hanging="420"/>
      </w:pPr>
    </w:lvl>
    <w:lvl w:ilvl="7" w:tplc="04090019">
      <w:start w:val="1"/>
      <w:numFmt w:val="lowerLetter"/>
      <w:lvlText w:val="%8)"/>
      <w:lvlJc w:val="left"/>
      <w:pPr>
        <w:ind w:left="3464" w:hanging="420"/>
      </w:pPr>
    </w:lvl>
    <w:lvl w:ilvl="8" w:tplc="0409001B">
      <w:start w:val="1"/>
      <w:numFmt w:val="lowerRoman"/>
      <w:lvlText w:val="%9."/>
      <w:lvlJc w:val="right"/>
      <w:pPr>
        <w:ind w:left="3884" w:hanging="420"/>
      </w:pPr>
    </w:lvl>
  </w:abstractNum>
  <w:abstractNum w:abstractNumId="1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F50761"/>
    <w:multiLevelType w:val="hybridMultilevel"/>
    <w:tmpl w:val="B7F2716A"/>
    <w:lvl w:ilvl="0" w:tplc="638670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1"/>
  </w:num>
  <w:num w:numId="4">
    <w:abstractNumId w:val="20"/>
  </w:num>
  <w:num w:numId="5">
    <w:abstractNumId w:val="4"/>
  </w:num>
  <w:num w:numId="6">
    <w:abstractNumId w:val="10"/>
  </w:num>
  <w:num w:numId="7">
    <w:abstractNumId w:val="27"/>
  </w:num>
  <w:num w:numId="8">
    <w:abstractNumId w:val="2"/>
  </w:num>
  <w:num w:numId="9">
    <w:abstractNumId w:val="25"/>
  </w:num>
  <w:num w:numId="10">
    <w:abstractNumId w:val="11"/>
  </w:num>
  <w:num w:numId="11">
    <w:abstractNumId w:val="19"/>
  </w:num>
  <w:num w:numId="12">
    <w:abstractNumId w:val="14"/>
  </w:num>
  <w:num w:numId="13">
    <w:abstractNumId w:val="29"/>
  </w:num>
  <w:num w:numId="14">
    <w:abstractNumId w:val="22"/>
  </w:num>
  <w:num w:numId="15">
    <w:abstractNumId w:val="12"/>
  </w:num>
  <w:num w:numId="16">
    <w:abstractNumId w:val="0"/>
  </w:num>
  <w:num w:numId="17">
    <w:abstractNumId w:val="21"/>
  </w:num>
  <w:num w:numId="18">
    <w:abstractNumId w:val="24"/>
  </w:num>
  <w:num w:numId="19">
    <w:abstractNumId w:val="28"/>
  </w:num>
  <w:num w:numId="20">
    <w:abstractNumId w:val="3"/>
  </w:num>
  <w:num w:numId="21">
    <w:abstractNumId w:val="17"/>
  </w:num>
  <w:num w:numId="22">
    <w:abstractNumId w:val="5"/>
  </w:num>
  <w:num w:numId="23">
    <w:abstractNumId w:val="16"/>
  </w:num>
  <w:num w:numId="24">
    <w:abstractNumId w:val="6"/>
  </w:num>
  <w:num w:numId="25">
    <w:abstractNumId w:val="23"/>
  </w:num>
  <w:num w:numId="26">
    <w:abstractNumId w:val="7"/>
  </w:num>
  <w:num w:numId="27">
    <w:abstractNumId w:val="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4CA7"/>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2F12"/>
    <w:rsid w:val="00DF51C3"/>
    <w:rsid w:val="00E00A22"/>
    <w:rsid w:val="00E05766"/>
    <w:rsid w:val="00E10EE2"/>
    <w:rsid w:val="00E27A28"/>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97756552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193419174">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3933-B540-4E2E-8047-FB4E11B8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5</Pages>
  <Words>642</Words>
  <Characters>3662</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63</cp:revision>
  <dcterms:created xsi:type="dcterms:W3CDTF">2016-01-15T03:23:00Z</dcterms:created>
  <dcterms:modified xsi:type="dcterms:W3CDTF">2021-03-08T05:11:00Z</dcterms:modified>
</cp:coreProperties>
</file>