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BB" w:rsidRDefault="002E4A19" w:rsidP="002E4A19">
      <w:pPr>
        <w:spacing w:line="360" w:lineRule="auto"/>
        <w:jc w:val="center"/>
        <w:rPr>
          <w:rFonts w:eastAsia="맑은 고딕"/>
          <w:b/>
          <w:sz w:val="40"/>
          <w:szCs w:val="40"/>
          <w:lang w:eastAsia="ko-KR"/>
        </w:rPr>
      </w:pPr>
      <w:bookmarkStart w:id="0" w:name="_GoBack"/>
      <w:bookmarkEnd w:id="0"/>
      <w:r w:rsidRPr="00604EBB">
        <w:rPr>
          <w:rFonts w:hint="eastAsia"/>
          <w:b/>
          <w:sz w:val="40"/>
          <w:szCs w:val="40"/>
        </w:rPr>
        <w:t>国务院</w:t>
      </w:r>
    </w:p>
    <w:p w:rsidR="00604EBB" w:rsidRDefault="002E4A19" w:rsidP="002E4A19">
      <w:pPr>
        <w:spacing w:line="360" w:lineRule="auto"/>
        <w:jc w:val="center"/>
        <w:rPr>
          <w:rFonts w:eastAsia="맑은 고딕"/>
          <w:b/>
          <w:sz w:val="40"/>
          <w:szCs w:val="40"/>
          <w:lang w:eastAsia="ko-KR"/>
        </w:rPr>
      </w:pPr>
      <w:r w:rsidRPr="00604EBB">
        <w:rPr>
          <w:rFonts w:hint="eastAsia"/>
          <w:b/>
          <w:sz w:val="40"/>
          <w:szCs w:val="40"/>
        </w:rPr>
        <w:t>关于在北京市暂时调整有关行政审批和准入</w:t>
      </w:r>
    </w:p>
    <w:p w:rsidR="002E4A19" w:rsidRPr="00604EBB" w:rsidRDefault="002E4A19" w:rsidP="002E4A19">
      <w:pPr>
        <w:spacing w:line="360" w:lineRule="auto"/>
        <w:jc w:val="center"/>
        <w:rPr>
          <w:b/>
          <w:sz w:val="40"/>
          <w:szCs w:val="40"/>
        </w:rPr>
      </w:pPr>
      <w:r w:rsidRPr="00604EBB">
        <w:rPr>
          <w:rFonts w:hint="eastAsia"/>
          <w:b/>
          <w:sz w:val="40"/>
          <w:szCs w:val="40"/>
        </w:rPr>
        <w:t>特别管理措施的决定</w:t>
      </w:r>
    </w:p>
    <w:p w:rsidR="002E4A19" w:rsidRDefault="002E4A19" w:rsidP="002E4A19">
      <w:pPr>
        <w:spacing w:line="360" w:lineRule="auto"/>
        <w:jc w:val="center"/>
      </w:pPr>
      <w:r>
        <w:rPr>
          <w:rFonts w:hint="eastAsia"/>
        </w:rPr>
        <w:t>国发〔</w:t>
      </w:r>
      <w:r>
        <w:rPr>
          <w:rFonts w:hint="eastAsia"/>
        </w:rPr>
        <w:t>2017</w:t>
      </w:r>
      <w:r>
        <w:rPr>
          <w:rFonts w:hint="eastAsia"/>
        </w:rPr>
        <w:t>〕</w:t>
      </w:r>
      <w:r>
        <w:rPr>
          <w:rFonts w:hint="eastAsia"/>
        </w:rPr>
        <w:t>55</w:t>
      </w:r>
      <w:r>
        <w:rPr>
          <w:rFonts w:hint="eastAsia"/>
        </w:rPr>
        <w:t>号</w:t>
      </w:r>
    </w:p>
    <w:p w:rsidR="002E4A19" w:rsidRDefault="002E4A19" w:rsidP="002E4A19">
      <w:pPr>
        <w:spacing w:line="360" w:lineRule="auto"/>
      </w:pPr>
    </w:p>
    <w:p w:rsidR="002E4A19" w:rsidRDefault="002E4A19" w:rsidP="002E4A19">
      <w:pPr>
        <w:spacing w:line="360" w:lineRule="auto"/>
      </w:pPr>
      <w:r>
        <w:rPr>
          <w:rFonts w:hint="eastAsia"/>
        </w:rPr>
        <w:t>各省、自治区、直辖市人民政府，国务院各部委、各直属机构：</w:t>
      </w:r>
    </w:p>
    <w:p w:rsidR="002E4A19" w:rsidRDefault="002E4A19" w:rsidP="00604EBB">
      <w:pPr>
        <w:spacing w:line="360" w:lineRule="auto"/>
        <w:ind w:firstLineChars="200" w:firstLine="420"/>
      </w:pPr>
      <w:r>
        <w:rPr>
          <w:rFonts w:hint="eastAsia"/>
        </w:rPr>
        <w:t>根据《国务院关于深化改革推进北京市服务业扩大开放综合试点工作方案的批复》（国函〔</w:t>
      </w:r>
      <w:r>
        <w:rPr>
          <w:rFonts w:hint="eastAsia"/>
        </w:rPr>
        <w:t>2017</w:t>
      </w:r>
      <w:r>
        <w:rPr>
          <w:rFonts w:hint="eastAsia"/>
        </w:rPr>
        <w:t>〕</w:t>
      </w:r>
      <w:r>
        <w:rPr>
          <w:rFonts w:hint="eastAsia"/>
        </w:rPr>
        <w:t>86</w:t>
      </w:r>
      <w:r>
        <w:rPr>
          <w:rFonts w:hint="eastAsia"/>
        </w:rPr>
        <w:t>号），国务院决定，即日起至</w:t>
      </w:r>
      <w:r>
        <w:rPr>
          <w:rFonts w:hint="eastAsia"/>
        </w:rPr>
        <w:t>2018</w:t>
      </w:r>
      <w:r>
        <w:rPr>
          <w:rFonts w:hint="eastAsia"/>
        </w:rPr>
        <w:t>年</w:t>
      </w:r>
      <w:r>
        <w:rPr>
          <w:rFonts w:hint="eastAsia"/>
        </w:rPr>
        <w:t>5</w:t>
      </w:r>
      <w:r>
        <w:rPr>
          <w:rFonts w:hint="eastAsia"/>
        </w:rPr>
        <w:t>月</w:t>
      </w:r>
      <w:r>
        <w:rPr>
          <w:rFonts w:hint="eastAsia"/>
        </w:rPr>
        <w:t>5</w:t>
      </w:r>
      <w:r>
        <w:rPr>
          <w:rFonts w:hint="eastAsia"/>
        </w:rPr>
        <w:t>日，在北京市暂时调整下列行政法规、经国务院批准的部门规章规定的行政审批和准入特别管理措施：</w:t>
      </w:r>
    </w:p>
    <w:p w:rsidR="002E4A19" w:rsidRDefault="002E4A19" w:rsidP="00604EBB">
      <w:pPr>
        <w:spacing w:line="360" w:lineRule="auto"/>
        <w:ind w:firstLineChars="200" w:firstLine="420"/>
      </w:pPr>
      <w:r>
        <w:rPr>
          <w:rFonts w:hint="eastAsia"/>
        </w:rPr>
        <w:t>暂时调整《营业性演出管理条例》第十条、《娱乐场所管理条例》第六条、《中华人民共和国外资银行管理条例》第三十四条、《外商投资民用航空业规定》第三条、《外商投资产业指导目录》中“禁止外商投资产业目录”第</w:t>
      </w:r>
      <w:r>
        <w:rPr>
          <w:rFonts w:hint="eastAsia"/>
        </w:rPr>
        <w:t>22</w:t>
      </w:r>
      <w:r>
        <w:rPr>
          <w:rFonts w:hint="eastAsia"/>
        </w:rPr>
        <w:t>项规定的有关行政审批和资质要求、股比限制、经营范围限制等准入特别管理措施（目录附后）。</w:t>
      </w:r>
    </w:p>
    <w:p w:rsidR="002E4A19" w:rsidRDefault="002E4A19" w:rsidP="00604EBB">
      <w:pPr>
        <w:spacing w:line="360" w:lineRule="auto"/>
        <w:ind w:firstLineChars="200" w:firstLine="420"/>
      </w:pPr>
      <w:r>
        <w:rPr>
          <w:rFonts w:hint="eastAsia"/>
        </w:rPr>
        <w:t>国务院有关部门、北京市人民政府要根据上述调整，及时对本部门、本市制定的规章和规范性文件作相应调整，建立与试点工作相适应的管理制度。</w:t>
      </w:r>
    </w:p>
    <w:p w:rsidR="002E4A19" w:rsidRDefault="002E4A19" w:rsidP="00604EBB">
      <w:pPr>
        <w:spacing w:line="360" w:lineRule="auto"/>
        <w:ind w:firstLineChars="200" w:firstLine="420"/>
      </w:pPr>
      <w:r>
        <w:rPr>
          <w:rFonts w:hint="eastAsia"/>
        </w:rPr>
        <w:t>北京市服务业扩大开放综合试点期满，国务院将根据实施情况对本决定的内容进行调整。</w:t>
      </w:r>
    </w:p>
    <w:p w:rsidR="002E4A19" w:rsidRDefault="002E4A19" w:rsidP="00604EBB">
      <w:pPr>
        <w:spacing w:line="360" w:lineRule="auto"/>
        <w:ind w:firstLineChars="200" w:firstLine="420"/>
      </w:pPr>
    </w:p>
    <w:p w:rsidR="002E4A19" w:rsidRDefault="002E4A19" w:rsidP="00604EBB">
      <w:pPr>
        <w:spacing w:line="360" w:lineRule="auto"/>
        <w:ind w:firstLineChars="200" w:firstLine="420"/>
      </w:pPr>
      <w:r>
        <w:rPr>
          <w:rFonts w:hint="eastAsia"/>
        </w:rPr>
        <w:t>附件：国务院决定在北京市暂时调整有关行政法规和经国务院批准的部门规章规定的行政审批和准入特别管理措施目录</w:t>
      </w:r>
    </w:p>
    <w:p w:rsidR="00604EBB" w:rsidRDefault="00604EBB" w:rsidP="002E4A19">
      <w:pPr>
        <w:spacing w:line="360" w:lineRule="auto"/>
        <w:rPr>
          <w:rFonts w:eastAsia="맑은 고딕"/>
          <w:lang w:eastAsia="ko-KR"/>
        </w:rPr>
      </w:pPr>
    </w:p>
    <w:p w:rsidR="002E4A19" w:rsidRDefault="002E4A19" w:rsidP="00604EBB">
      <w:pPr>
        <w:spacing w:line="360" w:lineRule="auto"/>
        <w:jc w:val="right"/>
      </w:pPr>
      <w:r>
        <w:rPr>
          <w:rFonts w:hint="eastAsia"/>
        </w:rPr>
        <w:t>国务院</w:t>
      </w:r>
      <w:r>
        <w:rPr>
          <w:rFonts w:hint="eastAsia"/>
        </w:rPr>
        <w:t xml:space="preserve">              </w:t>
      </w:r>
    </w:p>
    <w:p w:rsidR="002E4A19" w:rsidRDefault="002E4A19" w:rsidP="00604EBB">
      <w:pPr>
        <w:spacing w:line="360" w:lineRule="auto"/>
        <w:jc w:val="right"/>
      </w:pPr>
      <w:r>
        <w:rPr>
          <w:rFonts w:hint="eastAsia"/>
        </w:rPr>
        <w:t>2017</w:t>
      </w:r>
      <w:r>
        <w:rPr>
          <w:rFonts w:hint="eastAsia"/>
        </w:rPr>
        <w:t>年</w:t>
      </w:r>
      <w:r>
        <w:rPr>
          <w:rFonts w:hint="eastAsia"/>
        </w:rPr>
        <w:t>12</w:t>
      </w:r>
      <w:r>
        <w:rPr>
          <w:rFonts w:hint="eastAsia"/>
        </w:rPr>
        <w:t>月</w:t>
      </w:r>
      <w:r>
        <w:rPr>
          <w:rFonts w:hint="eastAsia"/>
        </w:rPr>
        <w:t>10</w:t>
      </w:r>
      <w:r>
        <w:rPr>
          <w:rFonts w:hint="eastAsia"/>
        </w:rPr>
        <w:t>日</w:t>
      </w:r>
      <w:r>
        <w:rPr>
          <w:rFonts w:hint="eastAsia"/>
        </w:rPr>
        <w:t xml:space="preserve">          </w:t>
      </w:r>
    </w:p>
    <w:p w:rsidR="002E4A19" w:rsidRPr="00604EBB" w:rsidRDefault="002E4A19" w:rsidP="002E4A19">
      <w:pPr>
        <w:spacing w:line="360" w:lineRule="auto"/>
        <w:rPr>
          <w:rFonts w:eastAsia="맑은 고딕"/>
          <w:lang w:eastAsia="ko-KR"/>
        </w:rPr>
      </w:pPr>
    </w:p>
    <w:p w:rsidR="002E4A19" w:rsidRDefault="002E4A19" w:rsidP="002E4A19">
      <w:pPr>
        <w:spacing w:line="360" w:lineRule="auto"/>
      </w:pPr>
      <w:r>
        <w:rPr>
          <w:rFonts w:hint="eastAsia"/>
        </w:rPr>
        <w:t>附件</w:t>
      </w:r>
    </w:p>
    <w:p w:rsidR="002E4A19" w:rsidRDefault="002E4A19" w:rsidP="002E4A19">
      <w:pPr>
        <w:spacing w:line="360" w:lineRule="auto"/>
      </w:pPr>
    </w:p>
    <w:p w:rsidR="002E4A19" w:rsidRPr="00604EBB" w:rsidRDefault="002E4A19" w:rsidP="00604EBB">
      <w:pPr>
        <w:spacing w:line="360" w:lineRule="auto"/>
        <w:jc w:val="center"/>
        <w:rPr>
          <w:b/>
          <w:sz w:val="40"/>
          <w:szCs w:val="40"/>
        </w:rPr>
      </w:pPr>
      <w:r w:rsidRPr="00604EBB">
        <w:rPr>
          <w:rFonts w:hint="eastAsia"/>
          <w:b/>
          <w:sz w:val="40"/>
          <w:szCs w:val="40"/>
        </w:rPr>
        <w:t>国务院决定在北京市暂时调整有关行政法规</w:t>
      </w:r>
    </w:p>
    <w:p w:rsidR="002E4A19" w:rsidRPr="00604EBB" w:rsidRDefault="002E4A19" w:rsidP="00604EBB">
      <w:pPr>
        <w:spacing w:line="360" w:lineRule="auto"/>
        <w:jc w:val="center"/>
        <w:rPr>
          <w:b/>
          <w:sz w:val="40"/>
          <w:szCs w:val="40"/>
        </w:rPr>
      </w:pPr>
      <w:r w:rsidRPr="00604EBB">
        <w:rPr>
          <w:rFonts w:hint="eastAsia"/>
          <w:b/>
          <w:sz w:val="40"/>
          <w:szCs w:val="40"/>
        </w:rPr>
        <w:t>和经国务院批准的部门规章规定的</w:t>
      </w:r>
    </w:p>
    <w:p w:rsidR="00722756" w:rsidRDefault="002E4A19" w:rsidP="00604EBB">
      <w:pPr>
        <w:spacing w:line="360" w:lineRule="auto"/>
        <w:jc w:val="center"/>
        <w:rPr>
          <w:rFonts w:eastAsia="맑은 고딕"/>
          <w:b/>
          <w:sz w:val="40"/>
          <w:szCs w:val="40"/>
          <w:lang w:eastAsia="ko-KR"/>
        </w:rPr>
      </w:pPr>
      <w:r w:rsidRPr="00604EBB">
        <w:rPr>
          <w:rFonts w:hint="eastAsia"/>
          <w:b/>
          <w:sz w:val="40"/>
          <w:szCs w:val="40"/>
        </w:rPr>
        <w:lastRenderedPageBreak/>
        <w:t>行政审批和准入特别管理措施目录</w:t>
      </w:r>
    </w:p>
    <w:p w:rsidR="00604EBB" w:rsidRPr="00604EBB" w:rsidRDefault="00604EBB" w:rsidP="00604EBB">
      <w:pPr>
        <w:spacing w:line="360" w:lineRule="auto"/>
        <w:jc w:val="center"/>
        <w:rPr>
          <w:rFonts w:eastAsia="맑은 고딕"/>
          <w:b/>
          <w:sz w:val="40"/>
          <w:szCs w:val="40"/>
          <w:lang w:eastAsia="ko-KR"/>
        </w:rPr>
      </w:pPr>
    </w:p>
    <w:tbl>
      <w:tblPr>
        <w:tblW w:w="9072" w:type="dxa"/>
        <w:shd w:val="clear" w:color="auto" w:fill="FFFFFF"/>
        <w:tblCellMar>
          <w:left w:w="0" w:type="dxa"/>
          <w:right w:w="0" w:type="dxa"/>
        </w:tblCellMar>
        <w:tblLook w:val="04A0" w:firstRow="1" w:lastRow="0" w:firstColumn="1" w:lastColumn="0" w:noHBand="0" w:noVBand="1"/>
      </w:tblPr>
      <w:tblGrid>
        <w:gridCol w:w="762"/>
        <w:gridCol w:w="5286"/>
        <w:gridCol w:w="3024"/>
      </w:tblGrid>
      <w:tr w:rsidR="00604EBB" w:rsidRPr="00604EBB" w:rsidTr="00604EBB">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jc w:val="center"/>
              <w:rPr>
                <w:rFonts w:ascii="Calibri" w:eastAsia="SimSun" w:hAnsi="Calibri" w:cs="SimSun"/>
                <w:color w:val="333333"/>
                <w:kern w:val="0"/>
                <w:szCs w:val="21"/>
              </w:rPr>
            </w:pPr>
            <w:r w:rsidRPr="00604EBB">
              <w:rPr>
                <w:rFonts w:ascii="SimSun" w:eastAsia="SimSun" w:hAnsi="SimSun" w:cs="SimSun" w:hint="eastAsia"/>
                <w:b/>
                <w:bCs/>
                <w:color w:val="333333"/>
                <w:kern w:val="0"/>
                <w:sz w:val="20"/>
                <w:szCs w:val="20"/>
              </w:rPr>
              <w:t>序号</w:t>
            </w:r>
          </w:p>
        </w:tc>
        <w:tc>
          <w:tcPr>
            <w:tcW w:w="52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jc w:val="center"/>
              <w:rPr>
                <w:rFonts w:ascii="Calibri" w:eastAsia="SimSun" w:hAnsi="Calibri" w:cs="SimSun"/>
                <w:color w:val="333333"/>
                <w:kern w:val="0"/>
                <w:szCs w:val="21"/>
              </w:rPr>
            </w:pPr>
            <w:r w:rsidRPr="00604EBB">
              <w:rPr>
                <w:rFonts w:ascii="SimSun" w:eastAsia="SimSun" w:hAnsi="SimSun" w:cs="SimSun" w:hint="eastAsia"/>
                <w:b/>
                <w:bCs/>
                <w:color w:val="333333"/>
                <w:kern w:val="0"/>
                <w:sz w:val="20"/>
                <w:szCs w:val="20"/>
              </w:rPr>
              <w:t>行政法规和经国务院批准的部门规章的有关规定</w:t>
            </w:r>
          </w:p>
        </w:tc>
        <w:tc>
          <w:tcPr>
            <w:tcW w:w="30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jc w:val="center"/>
              <w:rPr>
                <w:rFonts w:ascii="Calibri" w:eastAsia="SimSun" w:hAnsi="Calibri" w:cs="SimSun"/>
                <w:color w:val="333333"/>
                <w:kern w:val="0"/>
                <w:szCs w:val="21"/>
              </w:rPr>
            </w:pPr>
            <w:r w:rsidRPr="00604EBB">
              <w:rPr>
                <w:rFonts w:ascii="SimSun" w:eastAsia="SimSun" w:hAnsi="SimSun" w:cs="SimSun" w:hint="eastAsia"/>
                <w:b/>
                <w:bCs/>
                <w:color w:val="333333"/>
                <w:kern w:val="0"/>
                <w:sz w:val="20"/>
                <w:szCs w:val="20"/>
              </w:rPr>
              <w:t>调整实施情况</w:t>
            </w:r>
          </w:p>
        </w:tc>
      </w:tr>
      <w:tr w:rsidR="00604EBB" w:rsidRPr="00604EBB" w:rsidTr="00604EBB">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jc w:val="center"/>
              <w:rPr>
                <w:rFonts w:ascii="Calibri" w:eastAsia="SimSun" w:hAnsi="Calibri" w:cs="SimSun"/>
                <w:color w:val="333333"/>
                <w:kern w:val="0"/>
                <w:szCs w:val="21"/>
              </w:rPr>
            </w:pPr>
            <w:r w:rsidRPr="00604EBB">
              <w:rPr>
                <w:rFonts w:ascii="Calibri" w:eastAsia="SimSun" w:hAnsi="Calibri" w:cs="SimSun"/>
                <w:color w:val="333333"/>
                <w:kern w:val="0"/>
                <w:sz w:val="20"/>
                <w:szCs w:val="20"/>
              </w:rPr>
              <w:t>1</w:t>
            </w:r>
          </w:p>
        </w:tc>
        <w:tc>
          <w:tcPr>
            <w:tcW w:w="5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《营业性演出管理条例》</w:t>
            </w:r>
          </w:p>
          <w:p w:rsidR="00604EBB" w:rsidRPr="00604EBB" w:rsidRDefault="00604EBB" w:rsidP="00604EBB">
            <w:pPr>
              <w:widowControl/>
              <w:ind w:firstLine="400"/>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第十条第一款、第二款：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w:t>
            </w:r>
          </w:p>
          <w:p w:rsidR="00604EBB" w:rsidRPr="00604EBB" w:rsidRDefault="00604EBB" w:rsidP="00604EBB">
            <w:pPr>
              <w:widowControl/>
              <w:ind w:firstLine="400"/>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设立中外合资经营的演出经纪机构、演出场所经营单位，中国合营者的投资比例应当不低于</w:t>
            </w:r>
            <w:r w:rsidRPr="00604EBB">
              <w:rPr>
                <w:rFonts w:ascii="Calibri" w:eastAsia="SimSun" w:hAnsi="Calibri" w:cs="SimSun"/>
                <w:color w:val="333333"/>
                <w:kern w:val="0"/>
                <w:sz w:val="20"/>
                <w:szCs w:val="20"/>
              </w:rPr>
              <w:t>51%</w:t>
            </w:r>
            <w:r w:rsidRPr="00604EBB">
              <w:rPr>
                <w:rFonts w:ascii="SimSun" w:eastAsia="SimSun" w:hAnsi="SimSun" w:cs="SimSun" w:hint="eastAsia"/>
                <w:color w:val="333333"/>
                <w:kern w:val="0"/>
                <w:sz w:val="20"/>
                <w:szCs w:val="20"/>
              </w:rPr>
              <w:t>；设立中外合作经营的演出经纪机构、演出场所经营单位，中国合作者应当拥有经营主导权。</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选择文化娱乐业聚集的特定区域，允许外商投资设立演出场所经营单位，不设投资比例的限制。</w:t>
            </w:r>
          </w:p>
        </w:tc>
      </w:tr>
      <w:tr w:rsidR="00604EBB" w:rsidRPr="00604EBB" w:rsidTr="00604EBB">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jc w:val="center"/>
              <w:rPr>
                <w:rFonts w:ascii="Calibri" w:eastAsia="SimSun" w:hAnsi="Calibri" w:cs="SimSun"/>
                <w:color w:val="333333"/>
                <w:kern w:val="0"/>
                <w:szCs w:val="21"/>
              </w:rPr>
            </w:pPr>
            <w:r w:rsidRPr="00604EBB">
              <w:rPr>
                <w:rFonts w:ascii="Calibri" w:eastAsia="SimSun" w:hAnsi="Calibri" w:cs="SimSun"/>
                <w:color w:val="333333"/>
                <w:kern w:val="0"/>
                <w:sz w:val="20"/>
                <w:szCs w:val="20"/>
              </w:rPr>
              <w:t>2</w:t>
            </w:r>
          </w:p>
        </w:tc>
        <w:tc>
          <w:tcPr>
            <w:tcW w:w="5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《娱乐场所管理条例》</w:t>
            </w:r>
          </w:p>
          <w:p w:rsidR="00604EBB" w:rsidRPr="00604EBB" w:rsidRDefault="00604EBB" w:rsidP="00604EBB">
            <w:pPr>
              <w:widowControl/>
              <w:ind w:firstLine="400"/>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第六条：外国投资者可以与中国投资者依法设立中外合资经营、中外合作经营的娱乐场所，不得设立外商独资经营的娱乐场所。</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选择文化娱乐业聚集的特定区域，允许外商投资设立娱乐场所，不设投资比例的限制。</w:t>
            </w:r>
          </w:p>
        </w:tc>
      </w:tr>
      <w:tr w:rsidR="00604EBB" w:rsidRPr="00604EBB" w:rsidTr="00604EBB">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jc w:val="center"/>
              <w:rPr>
                <w:rFonts w:ascii="Calibri" w:eastAsia="SimSun" w:hAnsi="Calibri" w:cs="SimSun"/>
                <w:color w:val="333333"/>
                <w:kern w:val="0"/>
                <w:szCs w:val="21"/>
              </w:rPr>
            </w:pPr>
            <w:r w:rsidRPr="00604EBB">
              <w:rPr>
                <w:rFonts w:ascii="Calibri" w:eastAsia="SimSun" w:hAnsi="Calibri" w:cs="SimSun"/>
                <w:color w:val="333333"/>
                <w:kern w:val="0"/>
                <w:sz w:val="20"/>
                <w:szCs w:val="20"/>
              </w:rPr>
              <w:t>3</w:t>
            </w:r>
          </w:p>
        </w:tc>
        <w:tc>
          <w:tcPr>
            <w:tcW w:w="5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《中华人民共和国外资银行管理条例》</w:t>
            </w:r>
          </w:p>
          <w:p w:rsidR="00604EBB" w:rsidRPr="00604EBB" w:rsidRDefault="00604EBB" w:rsidP="00604EBB">
            <w:pPr>
              <w:widowControl/>
              <w:ind w:firstLine="400"/>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第三十四条第一款第一项：外资银行营业性机构经营本条例第二十九条或者第三十一条规定业务范围内的人民币业务的，应当具备下列条件，并经国务院银行业监督管理机构批准：</w:t>
            </w:r>
          </w:p>
          <w:p w:rsidR="00604EBB" w:rsidRPr="00604EBB" w:rsidRDefault="00604EBB" w:rsidP="00604EBB">
            <w:pPr>
              <w:widowControl/>
              <w:ind w:firstLine="400"/>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（一）提出申请前在中华人民共和国境内开业</w:t>
            </w:r>
            <w:r w:rsidRPr="00604EBB">
              <w:rPr>
                <w:rFonts w:ascii="Calibri" w:eastAsia="SimSun" w:hAnsi="Calibri" w:cs="SimSun"/>
                <w:color w:val="333333"/>
                <w:kern w:val="0"/>
                <w:sz w:val="20"/>
                <w:szCs w:val="20"/>
              </w:rPr>
              <w:t>1</w:t>
            </w:r>
            <w:r w:rsidRPr="00604EBB">
              <w:rPr>
                <w:rFonts w:ascii="SimSun" w:eastAsia="SimSun" w:hAnsi="SimSun" w:cs="SimSun" w:hint="eastAsia"/>
                <w:color w:val="333333"/>
                <w:kern w:val="0"/>
                <w:sz w:val="20"/>
                <w:szCs w:val="20"/>
              </w:rPr>
              <w:t>年以上；</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研究允许新设或改制成立的外商独资银行、中外合资银行或者外国银行分行在提交开业申请时可以同时申请人民币业务。</w:t>
            </w:r>
          </w:p>
        </w:tc>
      </w:tr>
      <w:tr w:rsidR="00604EBB" w:rsidRPr="00604EBB" w:rsidTr="00604EBB">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jc w:val="center"/>
              <w:rPr>
                <w:rFonts w:ascii="Calibri" w:eastAsia="SimSun" w:hAnsi="Calibri" w:cs="SimSun"/>
                <w:color w:val="333333"/>
                <w:kern w:val="0"/>
                <w:szCs w:val="21"/>
              </w:rPr>
            </w:pPr>
            <w:r w:rsidRPr="00604EBB">
              <w:rPr>
                <w:rFonts w:ascii="Calibri" w:eastAsia="SimSun" w:hAnsi="Calibri" w:cs="SimSun"/>
                <w:color w:val="333333"/>
                <w:kern w:val="0"/>
                <w:sz w:val="20"/>
                <w:szCs w:val="20"/>
              </w:rPr>
              <w:t>4</w:t>
            </w:r>
          </w:p>
        </w:tc>
        <w:tc>
          <w:tcPr>
            <w:tcW w:w="5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《外商投资民用航空业规定》</w:t>
            </w:r>
          </w:p>
          <w:p w:rsidR="00604EBB" w:rsidRPr="00604EBB" w:rsidRDefault="00604EBB" w:rsidP="00604EBB">
            <w:pPr>
              <w:widowControl/>
              <w:ind w:firstLine="400"/>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第三条：外商投资民航业范围包括民用机场、公共航空运输企业、通用航空企业和航空运输相关项目……</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允许外商投资航空运输销售代理企业。</w:t>
            </w:r>
          </w:p>
        </w:tc>
      </w:tr>
      <w:tr w:rsidR="00604EBB" w:rsidRPr="00604EBB" w:rsidTr="00604EBB">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jc w:val="center"/>
              <w:rPr>
                <w:rFonts w:ascii="Calibri" w:eastAsia="SimSun" w:hAnsi="Calibri" w:cs="SimSun"/>
                <w:color w:val="333333"/>
                <w:kern w:val="0"/>
                <w:szCs w:val="21"/>
              </w:rPr>
            </w:pPr>
            <w:r w:rsidRPr="00604EBB">
              <w:rPr>
                <w:rFonts w:ascii="Calibri" w:eastAsia="SimSun" w:hAnsi="Calibri" w:cs="SimSun"/>
                <w:color w:val="333333"/>
                <w:kern w:val="0"/>
                <w:sz w:val="20"/>
                <w:szCs w:val="20"/>
              </w:rPr>
              <w:t>5</w:t>
            </w:r>
          </w:p>
        </w:tc>
        <w:tc>
          <w:tcPr>
            <w:tcW w:w="5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《外商投资产业指导目录》</w:t>
            </w:r>
          </w:p>
          <w:p w:rsidR="00604EBB" w:rsidRPr="00604EBB" w:rsidRDefault="00604EBB" w:rsidP="00604EBB">
            <w:pPr>
              <w:widowControl/>
              <w:ind w:firstLine="400"/>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禁止外商投资产业目录</w:t>
            </w:r>
          </w:p>
          <w:p w:rsidR="00604EBB" w:rsidRPr="00604EBB" w:rsidRDefault="00604EBB" w:rsidP="00604EBB">
            <w:pPr>
              <w:widowControl/>
              <w:ind w:firstLine="400"/>
              <w:rPr>
                <w:rFonts w:ascii="Calibri" w:eastAsia="SimSun" w:hAnsi="Calibri" w:cs="SimSun"/>
                <w:color w:val="333333"/>
                <w:kern w:val="0"/>
                <w:szCs w:val="21"/>
              </w:rPr>
            </w:pPr>
            <w:r w:rsidRPr="00604EBB">
              <w:rPr>
                <w:rFonts w:ascii="Calibri" w:eastAsia="SimSun" w:hAnsi="Calibri" w:cs="SimSun"/>
                <w:color w:val="333333"/>
                <w:kern w:val="0"/>
                <w:sz w:val="20"/>
                <w:szCs w:val="20"/>
              </w:rPr>
              <w:t>22.</w:t>
            </w:r>
            <w:r w:rsidRPr="00604EBB">
              <w:rPr>
                <w:rFonts w:ascii="SimSun" w:eastAsia="SimSun" w:hAnsi="SimSun" w:cs="SimSun" w:hint="eastAsia"/>
                <w:color w:val="333333"/>
                <w:kern w:val="0"/>
                <w:sz w:val="20"/>
                <w:szCs w:val="20"/>
              </w:rPr>
              <w:t>音像制品和电子出版物的编辑、出版、制作业务</w:t>
            </w:r>
          </w:p>
        </w:tc>
        <w:tc>
          <w:tcPr>
            <w:tcW w:w="30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04EBB" w:rsidRPr="00604EBB" w:rsidRDefault="00604EBB" w:rsidP="00604EBB">
            <w:pPr>
              <w:widowControl/>
              <w:rPr>
                <w:rFonts w:ascii="Calibri" w:eastAsia="SimSun" w:hAnsi="Calibri" w:cs="SimSun"/>
                <w:color w:val="333333"/>
                <w:kern w:val="0"/>
                <w:szCs w:val="21"/>
              </w:rPr>
            </w:pPr>
            <w:r w:rsidRPr="00604EBB">
              <w:rPr>
                <w:rFonts w:ascii="SimSun" w:eastAsia="SimSun" w:hAnsi="SimSun" w:cs="SimSun" w:hint="eastAsia"/>
                <w:color w:val="333333"/>
                <w:kern w:val="0"/>
                <w:sz w:val="20"/>
                <w:szCs w:val="20"/>
              </w:rPr>
              <w:t>允许外商投资音像制品制作业务（限于在北京国家音乐产业基地、中国北京出版创意产业园区、北京国家数字出版基地内开展合作，中方应掌握经营主导权和内容终审权）。</w:t>
            </w:r>
          </w:p>
        </w:tc>
      </w:tr>
    </w:tbl>
    <w:p w:rsidR="00604EBB" w:rsidRPr="00604EBB" w:rsidRDefault="00604EBB" w:rsidP="002E4A19">
      <w:pPr>
        <w:spacing w:line="360" w:lineRule="auto"/>
        <w:rPr>
          <w:rFonts w:eastAsia="맑은 고딕"/>
        </w:rPr>
      </w:pPr>
    </w:p>
    <w:sectPr w:rsidR="00604EBB" w:rsidRPr="00604EBB" w:rsidSect="00722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19"/>
    <w:rsid w:val="002E4A19"/>
    <w:rsid w:val="00604EBB"/>
    <w:rsid w:val="00722756"/>
    <w:rsid w:val="00F51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4EBB"/>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4EBB"/>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7125">
      <w:bodyDiv w:val="1"/>
      <w:marLeft w:val="0"/>
      <w:marRight w:val="0"/>
      <w:marTop w:val="0"/>
      <w:marBottom w:val="0"/>
      <w:divBdr>
        <w:top w:val="none" w:sz="0" w:space="0" w:color="auto"/>
        <w:left w:val="none" w:sz="0" w:space="0" w:color="auto"/>
        <w:bottom w:val="none" w:sz="0" w:space="0" w:color="auto"/>
        <w:right w:val="none" w:sz="0" w:space="0" w:color="auto"/>
      </w:divBdr>
    </w:div>
    <w:div w:id="19432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lingjue</cp:lastModifiedBy>
  <cp:revision>2</cp:revision>
  <dcterms:created xsi:type="dcterms:W3CDTF">2018-01-02T00:33:00Z</dcterms:created>
  <dcterms:modified xsi:type="dcterms:W3CDTF">2018-01-02T00:33:00Z</dcterms:modified>
</cp:coreProperties>
</file>