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5E2A01" w:rsidRPr="005E2A01" w:rsidRDefault="005E2A01" w:rsidP="005E2A01">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lang w:eastAsia="ko-KR"/>
              </w:rPr>
            </w:pPr>
            <w:r w:rsidRPr="005E2A01">
              <w:rPr>
                <w:rFonts w:ascii="Batang" w:eastAsia="Batang" w:hAnsi="Batang" w:cs="Batang" w:hint="eastAsia"/>
                <w:b/>
                <w:bCs/>
                <w:color w:val="333333"/>
                <w:sz w:val="22"/>
                <w:szCs w:val="22"/>
                <w:lang w:eastAsia="ko-KR"/>
              </w:rPr>
              <w:t xml:space="preserve">&lt;중화인민공화국 세관 수출입화물 </w:t>
            </w:r>
            <w:proofErr w:type="spellStart"/>
            <w:r w:rsidRPr="005E2A01">
              <w:rPr>
                <w:rFonts w:ascii="Batang" w:eastAsia="Batang" w:hAnsi="Batang" w:cs="Batang" w:hint="eastAsia"/>
                <w:b/>
                <w:bCs/>
                <w:color w:val="333333"/>
                <w:sz w:val="22"/>
                <w:szCs w:val="22"/>
                <w:lang w:eastAsia="ko-KR"/>
              </w:rPr>
              <w:t>감면세</w:t>
            </w:r>
            <w:proofErr w:type="spellEnd"/>
            <w:r w:rsidRPr="005E2A01">
              <w:rPr>
                <w:rFonts w:ascii="Batang" w:eastAsia="Batang" w:hAnsi="Batang" w:cs="Batang" w:hint="eastAsia"/>
                <w:b/>
                <w:bCs/>
                <w:color w:val="333333"/>
                <w:sz w:val="22"/>
                <w:szCs w:val="22"/>
                <w:lang w:eastAsia="ko-KR"/>
              </w:rPr>
              <w:t xml:space="preserve"> 관리방법&gt;</w:t>
            </w:r>
            <w:r>
              <w:rPr>
                <w:rFonts w:ascii="Batang" w:eastAsia="Batang" w:hAnsi="Batang" w:cs="Batang" w:hint="eastAsia"/>
                <w:b/>
                <w:bCs/>
                <w:color w:val="333333"/>
                <w:sz w:val="22"/>
                <w:szCs w:val="22"/>
                <w:lang w:eastAsia="ko-KR"/>
              </w:rPr>
              <w:t xml:space="preserve"> </w:t>
            </w:r>
            <w:r w:rsidRPr="005E2A01">
              <w:rPr>
                <w:rFonts w:ascii="Batang" w:eastAsia="Batang" w:hAnsi="Batang" w:cs="Batang" w:hint="eastAsia"/>
                <w:b/>
                <w:bCs/>
                <w:color w:val="333333"/>
                <w:sz w:val="22"/>
                <w:szCs w:val="22"/>
                <w:lang w:eastAsia="ko-KR"/>
              </w:rPr>
              <w:t>실시 관련 사항에 관한 공고</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jc w:val="center"/>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세관총서공고 2021년 제16호</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16"/>
              <w:rPr>
                <w:rFonts w:ascii="Batang" w:eastAsia="Batang" w:hAnsi="Batang" w:cs="宋体" w:hint="eastAsia"/>
                <w:b/>
                <w:bCs/>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&lt;중화인민공화국 세관 수출입화물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관리방법&gt;(</w:t>
            </w:r>
            <w:proofErr w:type="spellStart"/>
            <w:r>
              <w:rPr>
                <w:rFonts w:ascii="Batang" w:eastAsia="Batang" w:hAnsi="Batang" w:cs="Batang" w:hint="eastAsia"/>
                <w:color w:val="333333"/>
                <w:kern w:val="0"/>
                <w:sz w:val="22"/>
                <w:lang w:eastAsia="ko-KR"/>
              </w:rPr>
              <w:t>세관총서령</w:t>
            </w:r>
            <w:proofErr w:type="spellEnd"/>
            <w:r>
              <w:rPr>
                <w:rFonts w:ascii="Batang" w:eastAsia="Batang" w:hAnsi="Batang" w:cs="Batang" w:hint="eastAsia"/>
                <w:color w:val="333333"/>
                <w:kern w:val="0"/>
                <w:sz w:val="22"/>
                <w:lang w:eastAsia="ko-KR"/>
              </w:rPr>
              <w:t xml:space="preserve"> 제</w:t>
            </w:r>
            <w:bookmarkStart w:id="0" w:name="_GoBack"/>
            <w:bookmarkEnd w:id="0"/>
            <w:r>
              <w:rPr>
                <w:rFonts w:ascii="Batang" w:eastAsia="Batang" w:hAnsi="Batang" w:cs="Batang" w:hint="eastAsia"/>
                <w:color w:val="333333"/>
                <w:kern w:val="0"/>
                <w:sz w:val="22"/>
                <w:lang w:eastAsia="ko-KR"/>
              </w:rPr>
              <w:t xml:space="preserve">245호, 이하 &lt;방법&gt;으로 약칭&gt;이 2020년 12월 21일 발표되었고 2021년 3월 1일부터 시행된다. 이에 관련 사항에 대하여 다음과 같이 고지한다.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宋体" w:hint="eastAsia"/>
                <w:color w:val="333333"/>
                <w:kern w:val="0"/>
                <w:sz w:val="22"/>
                <w:lang w:eastAsia="ko-KR"/>
              </w:rPr>
              <w:t>1. &lt;방법&gt; 제5조의 ‘</w:t>
            </w:r>
            <w:proofErr w:type="spellStart"/>
            <w:r>
              <w:rPr>
                <w:rFonts w:ascii="Batang" w:eastAsia="Batang" w:hAnsi="Batang" w:cs="宋体" w:hint="eastAsia"/>
                <w:color w:val="333333"/>
                <w:kern w:val="0"/>
                <w:sz w:val="22"/>
                <w:lang w:eastAsia="ko-KR"/>
              </w:rPr>
              <w:t>감면세</w:t>
            </w:r>
            <w:proofErr w:type="spellEnd"/>
            <w:r>
              <w:rPr>
                <w:rFonts w:ascii="Batang" w:eastAsia="Batang" w:hAnsi="Batang" w:cs="宋体" w:hint="eastAsia"/>
                <w:color w:val="333333"/>
                <w:kern w:val="0"/>
                <w:sz w:val="22"/>
                <w:lang w:eastAsia="ko-KR"/>
              </w:rPr>
              <w:t xml:space="preserve"> 심사확인 신청을 수리한 날’의 의미는 다음과 같다. </w:t>
            </w:r>
            <w:proofErr w:type="spellStart"/>
            <w:r>
              <w:rPr>
                <w:rFonts w:ascii="Batang" w:eastAsia="Batang" w:hAnsi="Batang" w:cs="宋体" w:hint="eastAsia"/>
                <w:color w:val="333333"/>
                <w:kern w:val="0"/>
                <w:sz w:val="22"/>
                <w:lang w:eastAsia="ko-KR"/>
              </w:rPr>
              <w:t>감면세</w:t>
            </w:r>
            <w:proofErr w:type="spellEnd"/>
            <w:r>
              <w:rPr>
                <w:rFonts w:ascii="Batang" w:eastAsia="Batang" w:hAnsi="Batang" w:cs="宋体" w:hint="eastAsia"/>
                <w:color w:val="333333"/>
                <w:kern w:val="0"/>
                <w:sz w:val="22"/>
                <w:lang w:eastAsia="ko-KR"/>
              </w:rPr>
              <w:t xml:space="preserve"> 신청인이 제출한 신청자료가 규정에 부합하여 세관이 이를 수리하는 경우 세관이 신청자료를 수취한 날을 수리일로 한다. </w:t>
            </w:r>
            <w:proofErr w:type="spellStart"/>
            <w:r>
              <w:rPr>
                <w:rFonts w:ascii="Batang" w:eastAsia="Batang" w:hAnsi="Batang" w:cs="宋体" w:hint="eastAsia"/>
                <w:color w:val="333333"/>
                <w:kern w:val="0"/>
                <w:sz w:val="22"/>
                <w:lang w:eastAsia="ko-KR"/>
              </w:rPr>
              <w:t>감면세</w:t>
            </w:r>
            <w:proofErr w:type="spellEnd"/>
            <w:r>
              <w:rPr>
                <w:rFonts w:ascii="Batang" w:eastAsia="Batang" w:hAnsi="Batang" w:cs="宋体" w:hint="eastAsia"/>
                <w:color w:val="333333"/>
                <w:kern w:val="0"/>
                <w:sz w:val="22"/>
                <w:lang w:eastAsia="ko-KR"/>
              </w:rPr>
              <w:t xml:space="preserve"> 신청인이 제출한 신청자료가 완전하게 구비되지 않았거나 규정에 부합하지 않는 경우, 세관은 </w:t>
            </w:r>
            <w:proofErr w:type="spellStart"/>
            <w:r>
              <w:rPr>
                <w:rFonts w:ascii="Batang" w:eastAsia="Batang" w:hAnsi="Batang" w:cs="宋体" w:hint="eastAsia"/>
                <w:color w:val="333333"/>
                <w:kern w:val="0"/>
                <w:sz w:val="22"/>
                <w:lang w:eastAsia="ko-KR"/>
              </w:rPr>
              <w:t>감면세</w:t>
            </w:r>
            <w:proofErr w:type="spellEnd"/>
            <w:r>
              <w:rPr>
                <w:rFonts w:ascii="Batang" w:eastAsia="Batang" w:hAnsi="Batang" w:cs="宋体" w:hint="eastAsia"/>
                <w:color w:val="333333"/>
                <w:kern w:val="0"/>
                <w:sz w:val="22"/>
                <w:lang w:eastAsia="ko-KR"/>
              </w:rPr>
              <w:t xml:space="preserve"> 신청인에게 보완이 필요한 관련 자료를 일시에 고지하고, 세관이 모든 보완된 신청자료를 수취한 날을 수리일로 한다.</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신청인이 규정에 따라 세관에 완전하고 유효하며 작성규범에 따른 신청자료를 제출하지 않는 경우, 세관은 이를 수리하지 않는다.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2. 일부 면세한도액 관리를 시행하는 세수정책과 관련하여,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신청인이 동일 화물을 수입하여 동일한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우대대우를 누리는 기타단위에 해당 정책에 따른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화물을 양도하는 경우, 양도하는 신청인의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한도액은 회복되지 않는다. 양도받는 신청인의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한도액은 세관이 심사하여 확정한 화물 이전시점의 가격, 수량 또는 납부세액을 기준으로 공제한다.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화물이 품질 또는 규격 사유로 원래 상태로 해외 반송되고,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신청인이 </w:t>
            </w:r>
            <w:r>
              <w:rPr>
                <w:rFonts w:ascii="Batang" w:eastAsia="Batang" w:hAnsi="Batang" w:cs="Batang" w:hint="eastAsia"/>
                <w:color w:val="333333"/>
                <w:kern w:val="0"/>
                <w:sz w:val="22"/>
                <w:lang w:eastAsia="ko-KR"/>
              </w:rPr>
              <w:lastRenderedPageBreak/>
              <w:t>무상 변상방식[</w:t>
            </w:r>
            <w:proofErr w:type="spellStart"/>
            <w:r>
              <w:rPr>
                <w:rFonts w:ascii="Batang" w:eastAsia="Batang" w:hAnsi="Batang" w:cs="Batang" w:hint="eastAsia"/>
                <w:color w:val="333333"/>
                <w:kern w:val="0"/>
                <w:sz w:val="22"/>
                <w:lang w:eastAsia="ko-KR"/>
              </w:rPr>
              <w:t>無代價抵償方式</w:t>
            </w:r>
            <w:proofErr w:type="spellEnd"/>
            <w:r>
              <w:rPr>
                <w:rFonts w:ascii="Batang" w:eastAsia="Batang" w:hAnsi="Batang" w:cs="Batang" w:hint="eastAsia"/>
                <w:color w:val="333333"/>
                <w:kern w:val="0"/>
                <w:sz w:val="22"/>
                <w:lang w:eastAsia="ko-KR"/>
              </w:rPr>
              <w:t xml:space="preserve">]으로 동일 유형의 화물을 수입하는 경우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한도액이 회복되지 않는다. 무상 변상방식으로 동일 유형의 화물을 수입하지 않는 경우,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신청인은 기존 감면세화물의 해외 반송일로부터 3개월 내에 세관에 신청하고, 세관의 심사 동의를 받아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한도액을 회복시킬 수 있다.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Batang" w:hint="eastAsia"/>
                <w:color w:val="333333"/>
                <w:kern w:val="0"/>
                <w:sz w:val="22"/>
                <w:lang w:eastAsia="ko-KR"/>
              </w:rPr>
              <w:t xml:space="preserve">기타 감독관리를 사전 해제하는 상황인 경우, </w:t>
            </w:r>
            <w:proofErr w:type="spellStart"/>
            <w:r>
              <w:rPr>
                <w:rFonts w:ascii="Batang" w:eastAsia="Batang" w:hAnsi="Batang" w:cs="Batang" w:hint="eastAsia"/>
                <w:color w:val="333333"/>
                <w:kern w:val="0"/>
                <w:sz w:val="22"/>
                <w:lang w:eastAsia="ko-KR"/>
              </w:rPr>
              <w:t>감면세</w:t>
            </w:r>
            <w:proofErr w:type="spellEnd"/>
            <w:r>
              <w:rPr>
                <w:rFonts w:ascii="Batang" w:eastAsia="Batang" w:hAnsi="Batang" w:cs="Batang" w:hint="eastAsia"/>
                <w:color w:val="333333"/>
                <w:kern w:val="0"/>
                <w:sz w:val="22"/>
                <w:lang w:eastAsia="ko-KR"/>
              </w:rPr>
              <w:t xml:space="preserve"> 한도액이 회복되지 않는다.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3. &lt;방법&gt; 제6조, 제7조에서 정한 &lt;중화인민공화국 세관 수출입화물 세금 징수면제 확인 통지서&gt; 변경, 취소 또는 연기의 처리기한은 &lt;방법&gt; 제5조에서 정한 기한을 참고하여 시행한다.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4. &lt;방법&gt; 제19조에서 정한 </w:t>
            </w:r>
            <w:proofErr w:type="spellStart"/>
            <w:r>
              <w:rPr>
                <w:rFonts w:ascii="Batang" w:eastAsia="Batang" w:hAnsi="Batang" w:cs="Batang" w:hint="eastAsia"/>
                <w:color w:val="333333"/>
                <w:kern w:val="0"/>
                <w:sz w:val="22"/>
                <w:lang w:eastAsia="ko-KR"/>
              </w:rPr>
              <w:t>감면세화물을</w:t>
            </w:r>
            <w:proofErr w:type="spellEnd"/>
            <w:r>
              <w:rPr>
                <w:rFonts w:ascii="Batang" w:eastAsia="Batang" w:hAnsi="Batang" w:cs="Batang" w:hint="eastAsia"/>
                <w:color w:val="333333"/>
                <w:kern w:val="0"/>
                <w:sz w:val="22"/>
                <w:lang w:eastAsia="ko-KR"/>
              </w:rPr>
              <w:t xml:space="preserve"> 해외 반송 또는 수출하는 경우, 통관문서의 ‘감독관리방식’</w:t>
            </w:r>
            <w:proofErr w:type="spellStart"/>
            <w:r>
              <w:rPr>
                <w:rFonts w:ascii="Batang" w:eastAsia="Batang" w:hAnsi="Batang" w:cs="Batang" w:hint="eastAsia"/>
                <w:color w:val="333333"/>
                <w:kern w:val="0"/>
                <w:sz w:val="22"/>
                <w:lang w:eastAsia="ko-KR"/>
              </w:rPr>
              <w:t>란에</w:t>
            </w:r>
            <w:proofErr w:type="spellEnd"/>
            <w:r>
              <w:rPr>
                <w:rFonts w:ascii="Batang" w:eastAsia="Batang" w:hAnsi="Batang" w:cs="Batang" w:hint="eastAsia"/>
                <w:color w:val="333333"/>
                <w:kern w:val="0"/>
                <w:sz w:val="22"/>
                <w:lang w:eastAsia="ko-KR"/>
              </w:rPr>
              <w:t xml:space="preserve"> 무역 실제상황이 근거하여 기입한다.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5. 2021년 3월 1일 이전에 세관이 발급하고 유효기간이 경과하지 않은 &lt;중화인민공화국 수출입화물 면세증명&gt;과 &lt;중화인민공화국 세관의 </w:t>
            </w:r>
            <w:proofErr w:type="spellStart"/>
            <w:r>
              <w:rPr>
                <w:rFonts w:ascii="Batang" w:eastAsia="Batang" w:hAnsi="Batang" w:cs="Batang" w:hint="eastAsia"/>
                <w:color w:val="333333"/>
                <w:kern w:val="0"/>
                <w:sz w:val="22"/>
                <w:lang w:eastAsia="ko-KR"/>
              </w:rPr>
              <w:t>감면세화물</w:t>
            </w:r>
            <w:proofErr w:type="spellEnd"/>
            <w:r>
              <w:rPr>
                <w:rFonts w:ascii="Batang" w:eastAsia="Batang" w:hAnsi="Batang" w:cs="Batang" w:hint="eastAsia"/>
                <w:color w:val="333333"/>
                <w:kern w:val="0"/>
                <w:sz w:val="22"/>
                <w:lang w:eastAsia="ko-KR"/>
              </w:rPr>
              <w:t xml:space="preserve"> 세액 담보 허가 증명&gt;은 계속하여 사용할 수 있다.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6. &lt;방법&gt; 시행과정과 관련된 법률 문건 및 관련 </w:t>
            </w:r>
            <w:proofErr w:type="spellStart"/>
            <w:r>
              <w:rPr>
                <w:rFonts w:ascii="Batang" w:eastAsia="Batang" w:hAnsi="Batang" w:cs="Batang" w:hint="eastAsia"/>
                <w:color w:val="333333"/>
                <w:kern w:val="0"/>
                <w:sz w:val="22"/>
                <w:lang w:eastAsia="ko-KR"/>
              </w:rPr>
              <w:t>보고표</w:t>
            </w:r>
            <w:proofErr w:type="spellEnd"/>
            <w:r>
              <w:rPr>
                <w:rFonts w:ascii="Batang" w:eastAsia="Batang" w:hAnsi="Batang" w:cs="Batang" w:hint="eastAsia"/>
                <w:color w:val="333333"/>
                <w:kern w:val="0"/>
                <w:sz w:val="22"/>
                <w:lang w:eastAsia="ko-KR"/>
              </w:rPr>
              <w:t xml:space="preserve"> 양식은 첨부 1-23에서 확인한다.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 xml:space="preserve">7. 본 공고는 2021년 3월 1일부터 시행한다.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Batang" w:hint="eastAsia"/>
                <w:color w:val="333333"/>
                <w:kern w:val="0"/>
                <w:sz w:val="22"/>
                <w:lang w:eastAsia="ko-KR"/>
              </w:rPr>
              <w:t xml:space="preserve">이를 특별히 공고한다. </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r>
              <w:rPr>
                <w:rFonts w:ascii="Batang" w:eastAsia="Batang" w:hAnsi="Batang" w:cs="Batang" w:hint="eastAsia"/>
                <w:color w:val="333333"/>
                <w:kern w:val="0"/>
                <w:sz w:val="22"/>
                <w:lang w:eastAsia="ko-KR"/>
              </w:rPr>
              <w:t xml:space="preserve">첨부: 법률 문건 및 관련 </w:t>
            </w:r>
            <w:proofErr w:type="spellStart"/>
            <w:r>
              <w:rPr>
                <w:rFonts w:ascii="Batang" w:eastAsia="Batang" w:hAnsi="Batang" w:cs="Batang" w:hint="eastAsia"/>
                <w:color w:val="333333"/>
                <w:kern w:val="0"/>
                <w:sz w:val="22"/>
                <w:lang w:eastAsia="ko-KR"/>
              </w:rPr>
              <w:t>보고표</w:t>
            </w:r>
            <w:proofErr w:type="spellEnd"/>
            <w:r>
              <w:rPr>
                <w:rFonts w:ascii="Batang" w:eastAsia="Batang" w:hAnsi="Batang" w:cs="Batang" w:hint="eastAsia"/>
                <w:color w:val="333333"/>
                <w:kern w:val="0"/>
                <w:sz w:val="22"/>
                <w:lang w:eastAsia="ko-KR"/>
              </w:rPr>
              <w:t xml:space="preserve"> 서식</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rPr>
                <w:rFonts w:ascii="Batang" w:eastAsia="Batang" w:hAnsi="Batang" w:cs="宋体" w:hint="eastAsia"/>
                <w:color w:val="333333"/>
                <w:kern w:val="0"/>
                <w:sz w:val="22"/>
                <w:lang w:eastAsia="ko-KR"/>
              </w:rPr>
            </w:pP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jc w:val="right"/>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세관총서</w:t>
            </w:r>
          </w:p>
          <w:p w:rsidR="005E2A01" w:rsidRDefault="005E2A01" w:rsidP="005E2A01">
            <w:pPr>
              <w:widowControl/>
              <w:shd w:val="clear" w:color="auto" w:fill="FFFFFF"/>
              <w:wordWrap w:val="0"/>
              <w:overflowPunct w:val="0"/>
              <w:autoSpaceDE w:val="0"/>
              <w:autoSpaceDN w:val="0"/>
              <w:snapToGrid w:val="0"/>
              <w:spacing w:line="340" w:lineRule="exact"/>
              <w:ind w:firstLineChars="100" w:firstLine="220"/>
              <w:jc w:val="right"/>
              <w:rPr>
                <w:rFonts w:ascii="Batang" w:eastAsia="Batang" w:hAnsi="Batang" w:cs="宋体" w:hint="eastAsia"/>
                <w:color w:val="333333"/>
                <w:kern w:val="0"/>
                <w:sz w:val="22"/>
                <w:lang w:eastAsia="ko-KR"/>
              </w:rPr>
            </w:pPr>
            <w:r>
              <w:rPr>
                <w:rFonts w:ascii="Batang" w:eastAsia="Batang" w:hAnsi="Batang" w:cs="Batang" w:hint="eastAsia"/>
                <w:color w:val="333333"/>
                <w:kern w:val="0"/>
                <w:sz w:val="22"/>
                <w:lang w:eastAsia="ko-KR"/>
              </w:rPr>
              <w:t>2021년 2월 24일</w:t>
            </w:r>
          </w:p>
          <w:p w:rsidR="005E2A01" w:rsidRDefault="005E2A01" w:rsidP="005E2A01">
            <w:pPr>
              <w:wordWrap w:val="0"/>
              <w:overflowPunct w:val="0"/>
              <w:autoSpaceDE w:val="0"/>
              <w:autoSpaceDN w:val="0"/>
              <w:snapToGrid w:val="0"/>
              <w:spacing w:line="340" w:lineRule="exact"/>
              <w:ind w:firstLineChars="100" w:firstLine="220"/>
              <w:rPr>
                <w:rFonts w:ascii="Batang" w:eastAsia="Batang" w:hAnsi="Batang" w:hint="eastAsia"/>
                <w:sz w:val="22"/>
              </w:rPr>
            </w:pP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5E2A01" w:rsidRPr="005E2A01" w:rsidRDefault="005E2A01" w:rsidP="005E2A01">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5E2A01">
              <w:rPr>
                <w:rFonts w:ascii="Batang" w:eastAsia="Batang" w:hAnsi="Batang" w:cs="Batang" w:hint="eastAsia"/>
                <w:b/>
                <w:bCs/>
                <w:color w:val="333333"/>
                <w:sz w:val="22"/>
                <w:szCs w:val="22"/>
              </w:rPr>
              <w:t>关于《中华人民共和国海关进出口货物减免税管理办法》实施有关事项的公告</w:t>
            </w:r>
          </w:p>
          <w:p w:rsidR="005E2A01" w:rsidRDefault="005E2A01" w:rsidP="005E2A01">
            <w:pPr>
              <w:widowControl/>
              <w:shd w:val="clear" w:color="auto" w:fill="FFFFFF"/>
              <w:wordWrap w:val="0"/>
              <w:topLinePunct/>
              <w:snapToGrid w:val="0"/>
              <w:spacing w:line="360" w:lineRule="auto"/>
              <w:jc w:val="center"/>
              <w:rPr>
                <w:rFonts w:ascii="宋体" w:eastAsia="宋体" w:hAnsi="宋体" w:cs="宋体" w:hint="eastAsia"/>
                <w:color w:val="333333"/>
                <w:kern w:val="0"/>
                <w:szCs w:val="21"/>
              </w:rPr>
            </w:pPr>
            <w:r>
              <w:rPr>
                <w:rFonts w:ascii="宋体" w:eastAsia="宋体" w:hAnsi="宋体" w:cs="宋体" w:hint="eastAsia"/>
                <w:color w:val="333333"/>
                <w:kern w:val="0"/>
                <w:szCs w:val="21"/>
              </w:rPr>
              <w:t>海关总署公告2021年第16号</w:t>
            </w: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b/>
                <w:bCs/>
                <w:color w:val="333333"/>
                <w:kern w:val="0"/>
                <w:szCs w:val="21"/>
              </w:rPr>
            </w:pPr>
          </w:p>
          <w:p w:rsidR="005E2A01" w:rsidRDefault="005E2A01" w:rsidP="005E2A01">
            <w:pPr>
              <w:widowControl/>
              <w:shd w:val="clear" w:color="auto" w:fill="FFFFFF"/>
              <w:wordWrap w:val="0"/>
              <w:topLinePunct/>
              <w:snapToGrid w:val="0"/>
              <w:spacing w:line="360" w:lineRule="auto"/>
              <w:ind w:firstLine="330"/>
              <w:jc w:val="left"/>
              <w:rPr>
                <w:rFonts w:ascii="宋体" w:hAnsi="宋体" w:cs="宋体" w:hint="eastAsia"/>
                <w:color w:val="333333"/>
                <w:w w:val="80"/>
                <w:kern w:val="0"/>
                <w:szCs w:val="21"/>
              </w:rPr>
            </w:pPr>
            <w:r w:rsidRPr="005E2A01">
              <w:rPr>
                <w:rFonts w:ascii="宋体" w:eastAsia="宋体" w:hAnsi="宋体" w:cs="宋体" w:hint="eastAsia"/>
                <w:color w:val="333333"/>
                <w:w w:val="80"/>
                <w:kern w:val="0"/>
                <w:szCs w:val="21"/>
              </w:rPr>
              <w:t>《中华人民共和国海关进出口货物减免税管理办法》(海关总署令第245号，以下简称《办法》）于2020年12月21日发布，自2021年3月1日起施行，现将有关事项公告如下：</w:t>
            </w:r>
          </w:p>
          <w:p w:rsidR="005E2A01" w:rsidRPr="005E2A01" w:rsidRDefault="005E2A01" w:rsidP="005E2A01">
            <w:pPr>
              <w:widowControl/>
              <w:shd w:val="clear" w:color="auto" w:fill="FFFFFF"/>
              <w:wordWrap w:val="0"/>
              <w:topLinePunct/>
              <w:snapToGrid w:val="0"/>
              <w:spacing w:line="360" w:lineRule="auto"/>
              <w:ind w:firstLine="330"/>
              <w:jc w:val="left"/>
              <w:rPr>
                <w:rFonts w:ascii="宋体" w:hAnsi="宋体" w:cs="宋体" w:hint="eastAsia"/>
                <w:color w:val="333333"/>
                <w:w w:val="80"/>
                <w:kern w:val="0"/>
                <w:sz w:val="17"/>
                <w:szCs w:val="21"/>
              </w:rPr>
            </w:pPr>
          </w:p>
          <w:p w:rsid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r>
              <w:rPr>
                <w:rFonts w:ascii="宋体" w:eastAsia="宋体" w:hAnsi="宋体" w:cs="宋体" w:hint="eastAsia"/>
                <w:color w:val="333333"/>
                <w:kern w:val="0"/>
                <w:szCs w:val="21"/>
              </w:rPr>
              <w:t>一、《办法》第五条中“受理减免税审核确认申请之日”是指：减免税申请人递交的申请材料符合规定，海关予以受理的，海关收到申请材料之日为受理之日；减免税申请人提交的申请材料不齐全或者不符合规定的，海关一次性告知减免税申请人需要补正的有关材料，海关收到全部补正的申请材料之日为受理之日。</w:t>
            </w:r>
          </w:p>
          <w:p w:rsidR="005E2A01" w:rsidRP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p>
          <w:p w:rsid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r>
              <w:rPr>
                <w:rFonts w:ascii="宋体" w:eastAsia="宋体" w:hAnsi="宋体" w:cs="宋体" w:hint="eastAsia"/>
                <w:color w:val="333333"/>
                <w:kern w:val="0"/>
                <w:szCs w:val="21"/>
              </w:rPr>
              <w:t>减免税申请人不按规定向海关提交齐全、有效、填报规范的申请材料的，海关不予受理。</w:t>
            </w:r>
          </w:p>
          <w:p w:rsidR="005E2A01" w:rsidRP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p>
          <w:p w:rsid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r>
              <w:rPr>
                <w:rFonts w:ascii="宋体" w:eastAsia="宋体" w:hAnsi="宋体" w:cs="宋体" w:hint="eastAsia"/>
                <w:color w:val="333333"/>
                <w:kern w:val="0"/>
                <w:szCs w:val="21"/>
              </w:rPr>
              <w:t>二、对于部分实行免税额度管理的税收政策，减免税申请人将该政策项下的减免税货物转让给进口同一货物享受同等减免税优惠待遇的其他单位的，转出申请人的减免税额度不予恢复，转入申请人的减免税额度按照海关审定的货物结转时的价格、数量或者应缴税款予以扣减。</w:t>
            </w:r>
          </w:p>
          <w:p w:rsidR="005E2A01" w:rsidRP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 w:val="9"/>
                <w:szCs w:val="21"/>
              </w:rPr>
            </w:pPr>
          </w:p>
          <w:p w:rsid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r>
              <w:rPr>
                <w:rFonts w:ascii="宋体" w:eastAsia="宋体" w:hAnsi="宋体" w:cs="宋体" w:hint="eastAsia"/>
                <w:color w:val="333333"/>
                <w:kern w:val="0"/>
                <w:szCs w:val="21"/>
              </w:rPr>
              <w:t>减免税货物因品质或者规格原因原</w:t>
            </w:r>
            <w:r>
              <w:rPr>
                <w:rFonts w:ascii="宋体" w:eastAsia="宋体" w:hAnsi="宋体" w:cs="宋体" w:hint="eastAsia"/>
                <w:color w:val="333333"/>
                <w:kern w:val="0"/>
                <w:szCs w:val="21"/>
              </w:rPr>
              <w:lastRenderedPageBreak/>
              <w:t>状退运出境，减免税申请人以无代价抵偿方式进口同一类型货物的，减免税额度不予恢复；未以无代价抵偿方式进口同一类型货物的，减免税申请人在原减免税货物退运出境之日起3个月内向海关提出申请，经海关审核同意，减免税额度可以恢复。</w:t>
            </w:r>
          </w:p>
          <w:p w:rsidR="005E2A01" w:rsidRP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 w:val="15"/>
                <w:szCs w:val="21"/>
              </w:rPr>
            </w:pPr>
          </w:p>
          <w:p w:rsid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Cs w:val="21"/>
              </w:rPr>
            </w:pPr>
            <w:r>
              <w:rPr>
                <w:rFonts w:ascii="宋体" w:eastAsia="宋体" w:hAnsi="宋体" w:cs="宋体" w:hint="eastAsia"/>
                <w:color w:val="333333"/>
                <w:kern w:val="0"/>
                <w:szCs w:val="21"/>
              </w:rPr>
              <w:t>对于其他提前解除监管的情形，减免税额度不予恢复。</w:t>
            </w:r>
          </w:p>
          <w:p w:rsidR="005E2A01" w:rsidRPr="005E2A01" w:rsidRDefault="005E2A01" w:rsidP="005E2A01">
            <w:pPr>
              <w:widowControl/>
              <w:shd w:val="clear" w:color="auto" w:fill="FFFFFF"/>
              <w:wordWrap w:val="0"/>
              <w:topLinePunct/>
              <w:snapToGrid w:val="0"/>
              <w:spacing w:line="360" w:lineRule="auto"/>
              <w:ind w:firstLine="420"/>
              <w:jc w:val="left"/>
              <w:rPr>
                <w:rFonts w:ascii="宋体" w:hAnsi="宋体" w:cs="宋体" w:hint="eastAsia"/>
                <w:color w:val="333333"/>
                <w:kern w:val="0"/>
                <w:sz w:val="7"/>
                <w:szCs w:val="21"/>
              </w:rPr>
            </w:pP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三、《办法》第六条、第七条规定的《中华人民共和国海关进出口货物征免税确认通知书》变更、撤销和延期，其办理时限参照《办法》第五条规定时限执行。</w:t>
            </w: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四、《办法》第十九条规定的将减免税货物退运出境或出口，报关单的“监管方式”栏目应按照贸易实际进行填报。</w:t>
            </w: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五、2021年3月1日前海关已出具且在有效期内的《中华人民共和国海关进出口货物征免税证明》和《中华人民共和国海关准予办理减免税货物税款担保证明》，仍可以继续使用。</w:t>
            </w: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六、《办法》执行过程中涉及的法律文书及相关报表格式文本详见附件1-23。</w:t>
            </w:r>
          </w:p>
          <w:p w:rsidR="005E2A01" w:rsidRDefault="005E2A01" w:rsidP="005E2A01">
            <w:pPr>
              <w:widowControl/>
              <w:shd w:val="clear" w:color="auto" w:fill="FFFFFF"/>
              <w:wordWrap w:val="0"/>
              <w:topLinePunct/>
              <w:snapToGrid w:val="0"/>
              <w:spacing w:line="360" w:lineRule="auto"/>
              <w:jc w:val="lef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七、本公告自2021年3月1日起实施。</w:t>
            </w:r>
          </w:p>
          <w:p w:rsidR="005E2A01" w:rsidRDefault="005E2A01" w:rsidP="005E2A01">
            <w:pPr>
              <w:widowControl/>
              <w:shd w:val="clear" w:color="auto" w:fill="FFFFFF"/>
              <w:wordWrap w:val="0"/>
              <w:topLinePunct/>
              <w:snapToGrid w:val="0"/>
              <w:spacing w:line="360" w:lineRule="auto"/>
              <w:ind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rPr>
              <w:t>特此公告。</w:t>
            </w:r>
          </w:p>
          <w:p w:rsidR="005E2A01" w:rsidRDefault="005E2A01" w:rsidP="005E2A01">
            <w:pPr>
              <w:widowControl/>
              <w:shd w:val="clear" w:color="auto" w:fill="FFFFFF"/>
              <w:wordWrap w:val="0"/>
              <w:topLinePunct/>
              <w:snapToGrid w:val="0"/>
              <w:spacing w:line="360" w:lineRule="auto"/>
              <w:ind w:firstLine="420"/>
              <w:jc w:val="left"/>
              <w:rPr>
                <w:rFonts w:ascii="宋体" w:eastAsia="宋体" w:hAnsi="宋体" w:cs="宋体" w:hint="eastAsia"/>
                <w:color w:val="333333"/>
                <w:kern w:val="0"/>
                <w:szCs w:val="21"/>
              </w:rPr>
            </w:pPr>
          </w:p>
          <w:p w:rsidR="005E2A01" w:rsidRDefault="005E2A01" w:rsidP="005E2A01">
            <w:pPr>
              <w:widowControl/>
              <w:shd w:val="clear" w:color="auto" w:fill="FFFFFF"/>
              <w:wordWrap w:val="0"/>
              <w:topLinePunct/>
              <w:snapToGrid w:val="0"/>
              <w:spacing w:line="360" w:lineRule="auto"/>
              <w:ind w:firstLine="420"/>
              <w:jc w:val="left"/>
              <w:rPr>
                <w:rFonts w:ascii="宋体" w:eastAsia="宋体" w:hAnsi="宋体" w:cs="宋体" w:hint="eastAsia"/>
                <w:color w:val="333333"/>
                <w:kern w:val="0"/>
                <w:szCs w:val="21"/>
              </w:rPr>
            </w:pPr>
            <w:r>
              <w:rPr>
                <w:rFonts w:ascii="宋体" w:eastAsia="宋体" w:hAnsi="宋体" w:cs="宋体" w:hint="eastAsia"/>
                <w:color w:val="333333"/>
                <w:kern w:val="0"/>
                <w:szCs w:val="21"/>
              </w:rPr>
              <w:t>附件：</w:t>
            </w:r>
            <w:hyperlink r:id="rId9" w:history="1">
              <w:r>
                <w:rPr>
                  <w:rStyle w:val="a7"/>
                  <w:rFonts w:ascii="宋体" w:eastAsia="宋体" w:hAnsi="宋体" w:cs="宋体" w:hint="eastAsia"/>
                  <w:color w:val="666666"/>
                  <w:kern w:val="0"/>
                  <w:szCs w:val="21"/>
                </w:rPr>
                <w:t>法律文书及相关报表格式文</w:t>
              </w:r>
              <w:r>
                <w:rPr>
                  <w:rStyle w:val="a7"/>
                  <w:rFonts w:ascii="宋体" w:eastAsia="宋体" w:hAnsi="宋体" w:cs="宋体" w:hint="eastAsia"/>
                  <w:color w:val="666666"/>
                  <w:kern w:val="0"/>
                  <w:szCs w:val="21"/>
                </w:rPr>
                <w:lastRenderedPageBreak/>
                <w:t>本.pdf</w:t>
              </w:r>
            </w:hyperlink>
          </w:p>
          <w:p w:rsidR="005E2A01" w:rsidRDefault="005E2A01" w:rsidP="005E2A01">
            <w:pPr>
              <w:widowControl/>
              <w:shd w:val="clear" w:color="auto" w:fill="FFFFFF"/>
              <w:wordWrap w:val="0"/>
              <w:topLinePunct/>
              <w:snapToGrid w:val="0"/>
              <w:spacing w:line="360" w:lineRule="auto"/>
              <w:jc w:val="righ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海关总署</w:t>
            </w:r>
          </w:p>
          <w:p w:rsidR="005E2A01" w:rsidRDefault="005E2A01" w:rsidP="005E2A01">
            <w:pPr>
              <w:widowControl/>
              <w:shd w:val="clear" w:color="auto" w:fill="FFFFFF"/>
              <w:wordWrap w:val="0"/>
              <w:topLinePunct/>
              <w:snapToGrid w:val="0"/>
              <w:spacing w:line="360" w:lineRule="auto"/>
              <w:jc w:val="right"/>
              <w:rPr>
                <w:rFonts w:ascii="宋体" w:eastAsia="宋体" w:hAnsi="宋体" w:cs="宋体" w:hint="eastAsia"/>
                <w:color w:val="333333"/>
                <w:kern w:val="0"/>
                <w:szCs w:val="21"/>
              </w:rPr>
            </w:pPr>
            <w:r>
              <w:rPr>
                <w:rFonts w:ascii="宋体" w:eastAsia="宋体" w:hAnsi="宋体" w:cs="宋体" w:hint="eastAsia"/>
                <w:color w:val="333333"/>
                <w:kern w:val="0"/>
                <w:szCs w:val="21"/>
              </w:rPr>
              <w:t xml:space="preserve">　　2021年2月24日</w:t>
            </w:r>
          </w:p>
          <w:p w:rsidR="005E2A01" w:rsidRDefault="005E2A01" w:rsidP="005E2A01">
            <w:pPr>
              <w:wordWrap w:val="0"/>
              <w:topLinePunct/>
              <w:snapToGrid w:val="0"/>
              <w:spacing w:line="360" w:lineRule="auto"/>
              <w:rPr>
                <w:rFonts w:ascii="宋体" w:eastAsia="宋体" w:hAnsi="宋体" w:hint="eastAsia"/>
                <w:szCs w:val="21"/>
              </w:rPr>
            </w:pP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30" w:rsidRDefault="00234E30" w:rsidP="00C278F4">
      <w:r>
        <w:separator/>
      </w:r>
    </w:p>
  </w:endnote>
  <w:endnote w:type="continuationSeparator" w:id="0">
    <w:p w:rsidR="00234E30" w:rsidRDefault="00234E3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30" w:rsidRDefault="00234E30" w:rsidP="00C278F4">
      <w:r>
        <w:separator/>
      </w:r>
    </w:p>
  </w:footnote>
  <w:footnote w:type="continuationSeparator" w:id="0">
    <w:p w:rsidR="00234E30" w:rsidRDefault="00234E3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34E30"/>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E2A01"/>
    <w:rsid w:val="005E305D"/>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0E9B"/>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686254662">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81683958">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382825169">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890650272">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ustoms.gov.cn/customs/302249/302266/302267/3557674/2021022615454411156.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7A04-7402-4D62-B3B6-515DC0ED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364</Words>
  <Characters>2077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79</cp:revision>
  <dcterms:created xsi:type="dcterms:W3CDTF">2016-01-15T03:23:00Z</dcterms:created>
  <dcterms:modified xsi:type="dcterms:W3CDTF">2021-03-10T00:57:00Z</dcterms:modified>
</cp:coreProperties>
</file>