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B4C63" w:rsidRPr="004B4C63" w:rsidRDefault="004B4C63" w:rsidP="004B4C6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4B4C63">
              <w:rPr>
                <w:rFonts w:ascii="Batang" w:eastAsia="Batang" w:hAnsi="Batang" w:cs="Batang" w:hint="eastAsia"/>
                <w:b/>
                <w:bCs/>
                <w:color w:val="333333"/>
                <w:sz w:val="22"/>
                <w:szCs w:val="22"/>
              </w:rPr>
              <w:t xml:space="preserve">2021년-2030년 신형 디스플레이 산업 발전 지원을 위한 </w:t>
            </w:r>
          </w:p>
          <w:p w:rsidR="004B4C63" w:rsidRPr="004B4C63" w:rsidRDefault="004B4C63" w:rsidP="004B4C6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4B4C63">
              <w:rPr>
                <w:rFonts w:ascii="Batang" w:eastAsia="Batang" w:hAnsi="Batang" w:cs="Batang" w:hint="eastAsia"/>
                <w:b/>
                <w:bCs/>
                <w:color w:val="333333"/>
                <w:sz w:val="22"/>
                <w:szCs w:val="22"/>
              </w:rPr>
              <w:t>수입 세수정책에 관한 통지</w:t>
            </w:r>
          </w:p>
          <w:p w:rsidR="004B4C63" w:rsidRDefault="004B4C63" w:rsidP="004B4C63">
            <w:pPr>
              <w:wordWrap w:val="0"/>
              <w:overflowPunct w:val="0"/>
              <w:autoSpaceDE w:val="0"/>
              <w:autoSpaceDN w:val="0"/>
              <w:snapToGrid w:val="0"/>
              <w:spacing w:line="360" w:lineRule="auto"/>
              <w:jc w:val="center"/>
              <w:rPr>
                <w:rFonts w:ascii="Batang" w:eastAsia="Batang" w:hAnsi="Batang" w:hint="eastAsia"/>
                <w:sz w:val="22"/>
                <w:lang w:eastAsia="ko-KR"/>
              </w:rPr>
            </w:pP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[2021]19호</w:t>
            </w:r>
          </w:p>
          <w:p w:rsidR="004B4C63" w:rsidRDefault="004B4C63" w:rsidP="004B4C63">
            <w:pPr>
              <w:wordWrap w:val="0"/>
              <w:overflowPunct w:val="0"/>
              <w:autoSpaceDE w:val="0"/>
              <w:autoSpaceDN w:val="0"/>
              <w:snapToGrid w:val="0"/>
              <w:spacing w:line="320" w:lineRule="exact"/>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각 성/자치구/직할시/</w:t>
            </w:r>
            <w:proofErr w:type="spellStart"/>
            <w:r>
              <w:rPr>
                <w:rFonts w:ascii="Batang" w:eastAsia="Batang" w:hAnsi="Batang" w:cs="Batang" w:hint="eastAsia"/>
                <w:sz w:val="22"/>
                <w:lang w:eastAsia="ko-KR"/>
              </w:rPr>
              <w:t>계획단열시</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(국)과 </w:t>
            </w:r>
            <w:proofErr w:type="spellStart"/>
            <w:r>
              <w:rPr>
                <w:rFonts w:ascii="Batang" w:eastAsia="Batang" w:hAnsi="Batang" w:cs="Batang" w:hint="eastAsia"/>
                <w:sz w:val="22"/>
                <w:lang w:eastAsia="ko-KR"/>
              </w:rPr>
              <w:t>신강생산건설병단</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재정국</w:t>
            </w:r>
            <w:proofErr w:type="spellEnd"/>
            <w:r>
              <w:rPr>
                <w:rFonts w:ascii="Batang" w:eastAsia="Batang" w:hAnsi="Batang" w:cs="Batang" w:hint="eastAsia"/>
                <w:sz w:val="22"/>
                <w:lang w:eastAsia="ko-KR"/>
              </w:rPr>
              <w:t xml:space="preserve">, 세관총서 </w:t>
            </w:r>
            <w:proofErr w:type="spellStart"/>
            <w:r>
              <w:rPr>
                <w:rFonts w:ascii="Batang" w:eastAsia="Batang" w:hAnsi="Batang" w:cs="Batang" w:hint="eastAsia"/>
                <w:sz w:val="22"/>
                <w:lang w:eastAsia="ko-KR"/>
              </w:rPr>
              <w:t>광동분서와</w:t>
            </w:r>
            <w:proofErr w:type="spellEnd"/>
            <w:r>
              <w:rPr>
                <w:rFonts w:ascii="Batang" w:eastAsia="Batang" w:hAnsi="Batang" w:cs="Batang" w:hint="eastAsia"/>
                <w:sz w:val="22"/>
                <w:lang w:eastAsia="ko-KR"/>
              </w:rPr>
              <w:t xml:space="preserve"> 각 직속세관, 국가세무총국 각 성/자치구/직할시/</w:t>
            </w:r>
            <w:proofErr w:type="spellStart"/>
            <w:r>
              <w:rPr>
                <w:rFonts w:ascii="Batang" w:eastAsia="Batang" w:hAnsi="Batang" w:cs="Batang" w:hint="eastAsia"/>
                <w:sz w:val="22"/>
                <w:lang w:eastAsia="ko-KR"/>
              </w:rPr>
              <w:t>계획단열시</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세무국</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각 지역 감독관리국, 국가세무총국 각지 주재 </w:t>
            </w:r>
            <w:proofErr w:type="spellStart"/>
            <w:r>
              <w:rPr>
                <w:rFonts w:ascii="Batang" w:eastAsia="Batang" w:hAnsi="Batang" w:cs="Batang" w:hint="eastAsia"/>
                <w:sz w:val="22"/>
                <w:lang w:eastAsia="ko-KR"/>
              </w:rPr>
              <w:t>특파원판사처</w:t>
            </w:r>
            <w:proofErr w:type="spellEnd"/>
            <w:r>
              <w:rPr>
                <w:rFonts w:ascii="Batang" w:eastAsia="Batang" w:hAnsi="Batang" w:cs="Batang" w:hint="eastAsia"/>
                <w:sz w:val="22"/>
                <w:lang w:eastAsia="ko-KR"/>
              </w:rPr>
              <w:t>:</w:t>
            </w: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차세대정보기술 육성을 가속화하고, 신형 디스플레이 산업의 발전을 지원하기 위해, 수입 세수 관련 정책을 다음과 같이 통지한다. </w:t>
            </w: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1. 2021년 1월 1일부터 2030년 12월 31일까지 신형 디스플레이 부품(박막 트랜지스터 액정 디스플레이(TFT-LCD), 능동 구동 유기발광다이오드(AMOLED), Micro-LED 디스플레이의 부품. 이하 동일) 생산기업이 국내에서 생산할 수 없거나 성능이 수요를 충족하지 못하는 자가 사용용 생산성(연구개발용 포함, 이하 동일) 원재료, 소모품과 </w:t>
            </w:r>
            <w:proofErr w:type="spellStart"/>
            <w:r>
              <w:rPr>
                <w:rFonts w:ascii="Batang" w:eastAsia="Batang" w:hAnsi="Batang" w:cs="Batang" w:hint="eastAsia"/>
                <w:sz w:val="22"/>
                <w:lang w:eastAsia="ko-KR"/>
              </w:rPr>
              <w:t>크린룸</w:t>
            </w:r>
            <w:proofErr w:type="spellEnd"/>
            <w:r>
              <w:rPr>
                <w:rFonts w:ascii="Batang" w:eastAsia="Batang" w:hAnsi="Batang" w:cs="Batang" w:hint="eastAsia"/>
                <w:sz w:val="22"/>
                <w:lang w:eastAsia="ko-KR"/>
              </w:rPr>
              <w:t xml:space="preserve"> 부대시스템, 생산설비(수입설비와 국산설비 포함) 부품을 수입하는 경우, 신형 디스플레이 산업 핵심 원재료와 부품(</w:t>
            </w:r>
            <w:proofErr w:type="spellStart"/>
            <w:r>
              <w:rPr>
                <w:rFonts w:ascii="Batang" w:eastAsia="Batang" w:hAnsi="Batang" w:cs="Batang" w:hint="eastAsia"/>
                <w:sz w:val="22"/>
                <w:lang w:eastAsia="ko-KR"/>
              </w:rPr>
              <w:t>표적체</w:t>
            </w:r>
            <w:proofErr w:type="spellEnd"/>
            <w:r>
              <w:rPr>
                <w:rFonts w:ascii="Batang" w:eastAsia="Batang" w:hAnsi="Batang" w:cs="Batang" w:hint="eastAsia"/>
                <w:sz w:val="22"/>
                <w:lang w:eastAsia="ko-KR"/>
              </w:rPr>
              <w:t xml:space="preserve">(target materials), </w:t>
            </w:r>
            <w:proofErr w:type="spellStart"/>
            <w:r>
              <w:rPr>
                <w:rFonts w:ascii="Batang" w:eastAsia="Batang" w:hAnsi="Batang" w:cs="Batang" w:hint="eastAsia"/>
                <w:sz w:val="22"/>
                <w:lang w:eastAsia="ko-KR"/>
              </w:rPr>
              <w:t>포토레지스트</w:t>
            </w:r>
            <w:proofErr w:type="spellEnd"/>
            <w:r>
              <w:rPr>
                <w:rFonts w:ascii="Batang" w:eastAsia="Batang" w:hAnsi="Batang" w:cs="Batang" w:hint="eastAsia"/>
                <w:sz w:val="22"/>
                <w:lang w:eastAsia="ko-KR"/>
              </w:rPr>
              <w:t xml:space="preserve">(Photoresist, PR), 마스크 </w:t>
            </w:r>
            <w:proofErr w:type="spellStart"/>
            <w:r>
              <w:rPr>
                <w:rFonts w:ascii="Batang" w:eastAsia="Batang" w:hAnsi="Batang" w:cs="Batang" w:hint="eastAsia"/>
                <w:sz w:val="22"/>
                <w:lang w:eastAsia="ko-KR"/>
              </w:rPr>
              <w:t>렉티클</w:t>
            </w:r>
            <w:proofErr w:type="spellEnd"/>
            <w:r>
              <w:rPr>
                <w:rFonts w:ascii="Batang" w:eastAsia="Batang" w:hAnsi="Batang" w:cs="Batang" w:hint="eastAsia"/>
                <w:sz w:val="22"/>
                <w:lang w:eastAsia="ko-KR"/>
              </w:rPr>
              <w:t xml:space="preserve">(Mask Reticle), </w:t>
            </w:r>
            <w:proofErr w:type="spellStart"/>
            <w:r>
              <w:rPr>
                <w:rFonts w:ascii="Batang" w:eastAsia="Batang" w:hAnsi="Batang" w:cs="Batang" w:hint="eastAsia"/>
                <w:sz w:val="22"/>
                <w:lang w:eastAsia="ko-KR"/>
              </w:rPr>
              <w:t>편광판</w:t>
            </w:r>
            <w:proofErr w:type="spellEnd"/>
            <w:r>
              <w:rPr>
                <w:rFonts w:ascii="Batang" w:eastAsia="Batang" w:hAnsi="Batang" w:cs="Batang" w:hint="eastAsia"/>
                <w:sz w:val="22"/>
                <w:lang w:eastAsia="ko-KR"/>
              </w:rPr>
              <w:t xml:space="preserve">, 컬러필터) 생산기업이 국내에서 생산할 수 없거나 성능이 수요를 충족하지 못하는 자가 사용용 생산 성 원재료, 소모품을 수입하는 경우에는 수입관세의 징수를 면제한다. </w:t>
            </w: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국내 산업 발전, 기술진보 등 상황에 따라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세무총국은 국가발전개혁위원회, </w:t>
            </w:r>
            <w:proofErr w:type="spellStart"/>
            <w:r>
              <w:rPr>
                <w:rFonts w:ascii="Batang" w:eastAsia="Batang" w:hAnsi="Batang" w:cs="Batang" w:hint="eastAsia"/>
                <w:sz w:val="22"/>
                <w:lang w:eastAsia="ko-KR"/>
              </w:rPr>
              <w:t>공업및정보화부와</w:t>
            </w:r>
            <w:proofErr w:type="spellEnd"/>
            <w:r>
              <w:rPr>
                <w:rFonts w:ascii="Batang" w:eastAsia="Batang" w:hAnsi="Batang" w:cs="Batang" w:hint="eastAsia"/>
                <w:sz w:val="22"/>
                <w:lang w:eastAsia="ko-KR"/>
              </w:rPr>
              <w:t xml:space="preserve"> 함께 상술한 핵심 원자재 및 부품의 종류를 적절한 시기에 조정할 수 있다. </w:t>
            </w: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2. 신형 디스플레이 부품 중대프로젝트를 수주한 기업이 2021년 1월 1일부터 2030년 12월 31일까지 수입한 신규설비가 &lt;국내 투자 프로젝트 면세 불가 수입상품 목록&gt;, &lt;외상투자프로젝트 면세 불가 수입상품 목록&gt; 및 &lt;수입 면세 불허 중대 기술장비 및 제품 목록&gt;으로 지정된 상품에 해당하지 않고 </w:t>
            </w:r>
            <w:proofErr w:type="spellStart"/>
            <w:r>
              <w:rPr>
                <w:rFonts w:ascii="Batang" w:eastAsia="Batang" w:hAnsi="Batang" w:cs="Batang" w:hint="eastAsia"/>
                <w:sz w:val="22"/>
                <w:lang w:eastAsia="ko-KR"/>
              </w:rPr>
              <w:t>미납부세액에</w:t>
            </w:r>
            <w:proofErr w:type="spellEnd"/>
            <w:r>
              <w:rPr>
                <w:rFonts w:ascii="Batang" w:eastAsia="Batang" w:hAnsi="Batang" w:cs="Batang" w:hint="eastAsia"/>
                <w:sz w:val="22"/>
                <w:lang w:eastAsia="ko-KR"/>
              </w:rPr>
              <w:t xml:space="preserve"> 대하여 세관이 인가하는 세액담보를 제공하는 경우, 최초 설비 수입 후 6년 (연속 72개월) 동안 수입단계 </w:t>
            </w:r>
            <w:proofErr w:type="spellStart"/>
            <w:r>
              <w:rPr>
                <w:rFonts w:ascii="Batang" w:eastAsia="Batang" w:hAnsi="Batang" w:cs="Batang" w:hint="eastAsia"/>
                <w:sz w:val="22"/>
                <w:lang w:eastAsia="ko-KR"/>
              </w:rPr>
              <w:t>증치세의</w:t>
            </w:r>
            <w:proofErr w:type="spellEnd"/>
            <w:r>
              <w:rPr>
                <w:rFonts w:ascii="Batang" w:eastAsia="Batang" w:hAnsi="Batang" w:cs="Batang" w:hint="eastAsia"/>
                <w:sz w:val="22"/>
                <w:lang w:eastAsia="ko-KR"/>
              </w:rPr>
              <w:t xml:space="preserve"> 분할납세를 허가한다. 6년간 매년(연속 12개월) 차례대로 수입단계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총액의 0%, 20%, 20%, 20%, 20%, 20%를 납부하며, 최초 설비 </w:t>
            </w:r>
            <w:proofErr w:type="spellStart"/>
            <w:r>
              <w:rPr>
                <w:rFonts w:ascii="Batang" w:eastAsia="Batang" w:hAnsi="Batang" w:cs="Batang" w:hint="eastAsia"/>
                <w:sz w:val="22"/>
                <w:lang w:eastAsia="ko-KR"/>
              </w:rPr>
              <w:t>수입일부터</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기납부한</w:t>
            </w:r>
            <w:proofErr w:type="spellEnd"/>
            <w:r>
              <w:rPr>
                <w:rFonts w:ascii="Batang" w:eastAsia="Batang" w:hAnsi="Batang" w:cs="Batang" w:hint="eastAsia"/>
                <w:sz w:val="22"/>
                <w:lang w:eastAsia="ko-KR"/>
              </w:rPr>
              <w:t xml:space="preserve"> 세액은 반환하지 않는다. 분할납세 기간 중, 세관은 분할납부를 허가한 세액에 대하여 체납금을 징수하지 않는다.</w:t>
            </w:r>
          </w:p>
          <w:p w:rsidR="004B4C63" w:rsidRDefault="004B4C63" w:rsidP="004B4C63">
            <w:pPr>
              <w:wordWrap w:val="0"/>
              <w:overflowPunct w:val="0"/>
              <w:autoSpaceDE w:val="0"/>
              <w:autoSpaceDN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3. 제1조에서 서술한 국내에서 생산할 수 없거나 성능이 수요를 충족하지 못하는 면세 수입상품 목록은 </w:t>
            </w:r>
            <w:proofErr w:type="spellStart"/>
            <w:r>
              <w:rPr>
                <w:rFonts w:ascii="Batang" w:eastAsia="Batang" w:hAnsi="Batang" w:cs="Batang" w:hint="eastAsia"/>
                <w:sz w:val="22"/>
                <w:lang w:eastAsia="ko-KR"/>
              </w:rPr>
              <w:t>공업및정보화부가</w:t>
            </w:r>
            <w:proofErr w:type="spellEnd"/>
            <w:r>
              <w:rPr>
                <w:rFonts w:ascii="Batang" w:eastAsia="Batang" w:hAnsi="Batang" w:cs="Batang" w:hint="eastAsia"/>
                <w:sz w:val="22"/>
                <w:lang w:eastAsia="ko-KR"/>
              </w:rPr>
              <w:t xml:space="preserve"> 국가발전개혁위원회,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세무총국과 함께 별도 제정하여 발표하고, 동태적으로 조정한다. </w:t>
            </w:r>
          </w:p>
          <w:p w:rsidR="004B4C63" w:rsidRDefault="004B4C63" w:rsidP="004B4C63">
            <w:pPr>
              <w:wordWrap w:val="0"/>
              <w:overflowPunct w:val="0"/>
              <w:autoSpaceDE w:val="0"/>
              <w:autoSpaceDN w:val="0"/>
              <w:snapToGrid w:val="0"/>
              <w:spacing w:line="320" w:lineRule="exact"/>
              <w:ind w:firstLineChars="100" w:firstLine="220"/>
              <w:rPr>
                <w:rFonts w:ascii="Batang" w:eastAsia="Batang" w:hAnsi="Batang" w:cs="Batang"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jc w:val="left"/>
              <w:rPr>
                <w:rFonts w:ascii="Batang" w:eastAsia="Batang" w:hAnsi="Batang" w:cs="Batang" w:hint="eastAsia"/>
                <w:sz w:val="22"/>
                <w:lang w:eastAsia="ko-KR"/>
              </w:rPr>
            </w:pPr>
            <w:r>
              <w:rPr>
                <w:rFonts w:ascii="Batang" w:eastAsia="Batang" w:hAnsi="Batang" w:cs="Batang" w:hint="eastAsia"/>
                <w:sz w:val="22"/>
                <w:lang w:eastAsia="ko-KR"/>
              </w:rPr>
              <w:t xml:space="preserve">4. 2021-2030년 신형 디스플레이 산업 발전을 지원하기 위한 수입 세수정책 관리방법은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세무총국이 국가발전개혁위원회, </w:t>
            </w:r>
            <w:proofErr w:type="spellStart"/>
            <w:r>
              <w:rPr>
                <w:rFonts w:ascii="Batang" w:eastAsia="Batang" w:hAnsi="Batang" w:cs="Batang" w:hint="eastAsia"/>
                <w:sz w:val="22"/>
                <w:lang w:eastAsia="ko-KR"/>
              </w:rPr>
              <w:t>공업및정보화부와</w:t>
            </w:r>
            <w:proofErr w:type="spellEnd"/>
            <w:r>
              <w:rPr>
                <w:rFonts w:ascii="Batang" w:eastAsia="Batang" w:hAnsi="Batang" w:cs="Batang" w:hint="eastAsia"/>
                <w:sz w:val="22"/>
                <w:lang w:eastAsia="ko-KR"/>
              </w:rPr>
              <w:t xml:space="preserve"> 함께 별도 제정하여 발표한다. </w:t>
            </w:r>
          </w:p>
          <w:p w:rsidR="004B4C63" w:rsidRDefault="004B4C63" w:rsidP="004B4C63">
            <w:pPr>
              <w:wordWrap w:val="0"/>
              <w:overflowPunct w:val="0"/>
              <w:autoSpaceDE w:val="0"/>
              <w:autoSpaceDN w:val="0"/>
              <w:snapToGrid w:val="0"/>
              <w:spacing w:line="320" w:lineRule="exact"/>
              <w:ind w:firstLineChars="100" w:firstLine="220"/>
              <w:rPr>
                <w:rFonts w:ascii="宋体" w:eastAsia="宋体" w:hAnsi="宋体" w:hint="eastAsia"/>
                <w:sz w:val="22"/>
                <w:lang w:eastAsia="ko-KR"/>
              </w:rPr>
            </w:pPr>
          </w:p>
          <w:p w:rsidR="004B4C63" w:rsidRDefault="004B4C63" w:rsidP="004B4C6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4B4C63" w:rsidRDefault="004B4C63" w:rsidP="004B4C6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세관총서</w:t>
            </w:r>
          </w:p>
          <w:p w:rsidR="004B4C63" w:rsidRDefault="004B4C63" w:rsidP="004B4C63">
            <w:pPr>
              <w:wordWrap w:val="0"/>
              <w:overflowPunct w:val="0"/>
              <w:autoSpaceDE w:val="0"/>
              <w:autoSpaceDN w:val="0"/>
              <w:snapToGrid w:val="0"/>
              <w:spacing w:line="32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4B4C63" w:rsidRDefault="004B4C63" w:rsidP="004B4C63">
            <w:pPr>
              <w:wordWrap w:val="0"/>
              <w:overflowPunct w:val="0"/>
              <w:autoSpaceDE w:val="0"/>
              <w:autoSpaceDN w:val="0"/>
              <w:snapToGrid w:val="0"/>
              <w:spacing w:line="320" w:lineRule="exact"/>
              <w:ind w:firstLineChars="100" w:firstLine="220"/>
              <w:jc w:val="right"/>
              <w:rPr>
                <w:rFonts w:ascii="宋体" w:eastAsia="宋体" w:hAnsi="宋体" w:hint="eastAsia"/>
                <w:sz w:val="22"/>
                <w:lang w:eastAsia="ko-KR"/>
              </w:rPr>
            </w:pPr>
            <w:r>
              <w:rPr>
                <w:rFonts w:ascii="Batang" w:eastAsia="Batang" w:hAnsi="Batang" w:cs="Batang" w:hint="eastAsia"/>
                <w:sz w:val="22"/>
                <w:lang w:eastAsia="ko-KR"/>
              </w:rPr>
              <w:t>2021년 3월 31일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4B4C63" w:rsidRPr="004B4C63" w:rsidRDefault="004B4C63" w:rsidP="004B4C6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4B4C63">
              <w:rPr>
                <w:rFonts w:ascii="Batang" w:eastAsia="Batang" w:hAnsi="Batang" w:cs="Batang" w:hint="eastAsia"/>
                <w:b/>
                <w:bCs/>
                <w:color w:val="333333"/>
                <w:sz w:val="22"/>
                <w:szCs w:val="22"/>
              </w:rPr>
              <w:t>关于2021-2030年支持新型显示产业发展</w:t>
            </w:r>
          </w:p>
          <w:p w:rsidR="004B4C63" w:rsidRPr="004B4C63" w:rsidRDefault="004B4C63" w:rsidP="004B4C6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4B4C63">
              <w:rPr>
                <w:rFonts w:ascii="Batang" w:eastAsia="Batang" w:hAnsi="Batang" w:cs="Batang" w:hint="eastAsia"/>
                <w:b/>
                <w:bCs/>
                <w:color w:val="333333"/>
                <w:sz w:val="22"/>
                <w:szCs w:val="22"/>
              </w:rPr>
              <w:t>进口税收政策的通知</w:t>
            </w:r>
          </w:p>
          <w:p w:rsidR="004B4C63" w:rsidRDefault="004B4C63" w:rsidP="004B4C63">
            <w:pPr>
              <w:snapToGrid w:val="0"/>
              <w:spacing w:line="360" w:lineRule="auto"/>
              <w:jc w:val="center"/>
              <w:rPr>
                <w:rFonts w:ascii="宋体" w:eastAsia="宋体" w:hAnsi="宋体" w:hint="eastAsia"/>
                <w:szCs w:val="21"/>
              </w:rPr>
            </w:pPr>
            <w:r>
              <w:rPr>
                <w:rFonts w:ascii="宋体" w:eastAsia="宋体" w:hAnsi="宋体" w:hint="eastAsia"/>
                <w:szCs w:val="21"/>
              </w:rPr>
              <w:t>财关税〔2021〕19号</w:t>
            </w:r>
          </w:p>
          <w:p w:rsidR="004B4C63" w:rsidRDefault="004B4C63" w:rsidP="004B4C63">
            <w:pPr>
              <w:snapToGrid w:val="0"/>
              <w:spacing w:line="360" w:lineRule="auto"/>
              <w:rPr>
                <w:rFonts w:ascii="宋体" w:eastAsia="宋体" w:hAnsi="宋体" w:hint="eastAsia"/>
                <w:szCs w:val="21"/>
              </w:rPr>
            </w:pPr>
          </w:p>
          <w:p w:rsidR="004B4C63" w:rsidRPr="004B4C63" w:rsidRDefault="004B4C63" w:rsidP="004B4C63">
            <w:pPr>
              <w:snapToGrid w:val="0"/>
              <w:spacing w:line="360" w:lineRule="auto"/>
              <w:rPr>
                <w:rFonts w:ascii="宋体" w:eastAsia="宋体" w:hAnsi="宋体" w:hint="eastAsia"/>
                <w:w w:val="90"/>
                <w:szCs w:val="21"/>
              </w:rPr>
            </w:pPr>
            <w:r w:rsidRPr="004B4C63">
              <w:rPr>
                <w:rFonts w:ascii="宋体" w:eastAsia="宋体" w:hAnsi="宋体" w:hint="eastAsia"/>
                <w:w w:val="90"/>
                <w:szCs w:val="21"/>
              </w:rPr>
              <w:t>各省、自治区、直辖市、计划单列市财政厅（局）、新疆生产建设兵团财政局，海关总署广东分署、各直属海关，国家税务总局各省、自治区、直辖市、计划单列市税务局，财政部各地监管局，国家税务总局驻各地特派员办事处：</w:t>
            </w:r>
          </w:p>
          <w:p w:rsidR="004B4C63" w:rsidRPr="004B4C63" w:rsidRDefault="004B4C63" w:rsidP="004B4C63">
            <w:pPr>
              <w:snapToGrid w:val="0"/>
              <w:spacing w:line="360" w:lineRule="auto"/>
              <w:rPr>
                <w:rFonts w:ascii="宋体" w:eastAsia="宋体" w:hAnsi="宋体" w:hint="eastAsia"/>
                <w:w w:val="90"/>
                <w:szCs w:val="21"/>
              </w:rPr>
            </w:pPr>
            <w:r w:rsidRPr="004B4C63">
              <w:rPr>
                <w:rFonts w:ascii="宋体" w:eastAsia="宋体" w:hAnsi="宋体" w:hint="eastAsia"/>
                <w:w w:val="90"/>
                <w:szCs w:val="21"/>
              </w:rPr>
              <w:t xml:space="preserve">　　为加快壮大新一代信息技术，支持新型显示产业发展，现将有关进口税收政策通知如下：</w:t>
            </w:r>
          </w:p>
          <w:p w:rsidR="004B4C63" w:rsidRDefault="004B4C63" w:rsidP="004B4C63">
            <w:pPr>
              <w:snapToGrid w:val="0"/>
              <w:spacing w:line="360" w:lineRule="auto"/>
              <w:rPr>
                <w:rFonts w:ascii="宋体" w:eastAsia="宋体" w:hAnsi="宋体" w:hint="eastAsia"/>
                <w:szCs w:val="21"/>
              </w:rPr>
            </w:pPr>
            <w:r>
              <w:rPr>
                <w:rFonts w:ascii="宋体" w:eastAsia="宋体" w:hAnsi="宋体" w:hint="eastAsia"/>
                <w:szCs w:val="21"/>
              </w:rPr>
              <w:t xml:space="preserve">　　一、自2021年1月1日至2030年12月31日，对新型显示器件（即薄膜晶体管液晶显示器件、有源矩阵有机发光二极管显示器件、Micro-LED显示器件，下同）生产企业进口国内不能生产或性能不能满足需求的自用生产性（含研发用，下同）原材料、消耗品和净化室配套系统、生产设备（包括进口设备和国产设备）零配件，对新型显示产业的关键原材料、零配件（即靶材、光刻胶、掩模版、偏光片、彩色滤光膜）生产企业进口国内不能生产或性能不能满足需求的自用生产性原材料、消耗品，免征进口关税。</w:t>
            </w:r>
          </w:p>
          <w:p w:rsidR="004B4C63" w:rsidRDefault="004B4C63" w:rsidP="004B4C63">
            <w:pPr>
              <w:snapToGrid w:val="0"/>
              <w:spacing w:line="360" w:lineRule="auto"/>
              <w:rPr>
                <w:rFonts w:ascii="宋体" w:eastAsia="宋体" w:hAnsi="宋体" w:hint="eastAsia"/>
                <w:szCs w:val="21"/>
              </w:rPr>
            </w:pPr>
            <w:r>
              <w:rPr>
                <w:rFonts w:ascii="宋体" w:eastAsia="宋体" w:hAnsi="宋体" w:hint="eastAsia"/>
                <w:szCs w:val="21"/>
              </w:rPr>
              <w:t xml:space="preserve">　　根据国内产业发展、技术进步等情况，财政部、海关总署、税务总局将会同国家发展改革委、工业和信息化部对上述关键原材料、零配件类型适时调</w:t>
            </w:r>
            <w:r>
              <w:rPr>
                <w:rFonts w:ascii="宋体" w:eastAsia="宋体" w:hAnsi="宋体" w:hint="eastAsia"/>
                <w:szCs w:val="21"/>
              </w:rPr>
              <w:lastRenderedPageBreak/>
              <w:t>整。</w:t>
            </w:r>
          </w:p>
          <w:p w:rsidR="004B4C63" w:rsidRDefault="004B4C63" w:rsidP="004B4C63">
            <w:pPr>
              <w:snapToGrid w:val="0"/>
              <w:spacing w:line="360" w:lineRule="auto"/>
              <w:ind w:firstLine="450"/>
              <w:rPr>
                <w:rFonts w:ascii="宋体" w:hAnsi="宋体" w:hint="eastAsia"/>
                <w:w w:val="80"/>
                <w:szCs w:val="21"/>
                <w:lang w:eastAsia="ko-KR"/>
              </w:rPr>
            </w:pPr>
            <w:r>
              <w:rPr>
                <w:rFonts w:ascii="宋体" w:eastAsia="宋体" w:hAnsi="宋体" w:hint="eastAsia"/>
                <w:szCs w:val="21"/>
              </w:rPr>
              <w:t>二、</w:t>
            </w:r>
            <w:r w:rsidRPr="004B4C63">
              <w:rPr>
                <w:rFonts w:ascii="宋体" w:eastAsia="宋体" w:hAnsi="宋体" w:hint="eastAsia"/>
                <w:w w:val="80"/>
                <w:szCs w:val="21"/>
              </w:rPr>
              <w:t>承建新型显示器件重大项目的企业自2021年1月1日至2030年12月31日期间进口新设备，除《国内投资项目不予免税的进口商品目录》、《外商投资项目不予免税的进口商品目录》和《进口不予免税的重大技术装备和产品目录》所列商品外，对未缴纳的税款提供海关认可的税款担保，准予在首台设备进口之后的6年（连续72个月）期限内分期缴纳进口环节增值税，6年内每年（连续12个月）依次缴纳进口环节增值税总额的0%、20%、20%、20%、20%、20%，自首台设备进口之日起已经缴纳的税款不予退还。在分期纳税期间，海关对准予分期缴纳的税款不予征收滞纳金。</w:t>
            </w:r>
          </w:p>
          <w:p w:rsidR="004B4C63" w:rsidRPr="004B4C63" w:rsidRDefault="004B4C63" w:rsidP="004B4C63">
            <w:pPr>
              <w:snapToGrid w:val="0"/>
              <w:spacing w:line="360" w:lineRule="auto"/>
              <w:ind w:firstLine="450"/>
              <w:rPr>
                <w:rFonts w:ascii="宋体" w:hAnsi="宋体" w:hint="eastAsia"/>
                <w:szCs w:val="21"/>
                <w:lang w:eastAsia="ko-KR"/>
              </w:rPr>
            </w:pPr>
          </w:p>
          <w:p w:rsidR="004B4C63" w:rsidRDefault="004B4C63" w:rsidP="004B4C63">
            <w:pPr>
              <w:snapToGrid w:val="0"/>
              <w:spacing w:line="360" w:lineRule="auto"/>
              <w:ind w:firstLine="450"/>
              <w:rPr>
                <w:rFonts w:ascii="宋体" w:hAnsi="宋体" w:hint="eastAsia"/>
                <w:szCs w:val="21"/>
              </w:rPr>
            </w:pPr>
            <w:r>
              <w:rPr>
                <w:rFonts w:ascii="宋体" w:eastAsia="宋体" w:hAnsi="宋体" w:hint="eastAsia"/>
                <w:szCs w:val="21"/>
              </w:rPr>
              <w:t>三、第一条中所述国内不能生产或性能不能满足需求的免税进口商品清单，由工业和信息化部会同国家发展改革委、财政部、海关总署、税务总局另行制定印发，并动态调整。</w:t>
            </w:r>
          </w:p>
          <w:p w:rsidR="004B4C63" w:rsidRPr="004B4C63" w:rsidRDefault="004B4C63" w:rsidP="004B4C63">
            <w:pPr>
              <w:snapToGrid w:val="0"/>
              <w:spacing w:line="360" w:lineRule="auto"/>
              <w:ind w:firstLine="450"/>
              <w:rPr>
                <w:rFonts w:ascii="宋体" w:hAnsi="宋体" w:hint="eastAsia"/>
                <w:sz w:val="13"/>
                <w:szCs w:val="21"/>
              </w:rPr>
            </w:pPr>
          </w:p>
          <w:p w:rsidR="004B4C63" w:rsidRDefault="004B4C63" w:rsidP="004B4C63">
            <w:pPr>
              <w:snapToGrid w:val="0"/>
              <w:spacing w:line="360" w:lineRule="auto"/>
              <w:rPr>
                <w:rFonts w:ascii="宋体" w:eastAsia="宋体" w:hAnsi="宋体" w:hint="eastAsia"/>
                <w:szCs w:val="21"/>
              </w:rPr>
            </w:pPr>
            <w:r>
              <w:rPr>
                <w:rFonts w:ascii="宋体" w:eastAsia="宋体" w:hAnsi="宋体" w:hint="eastAsia"/>
                <w:szCs w:val="21"/>
              </w:rPr>
              <w:t xml:space="preserve">　　四、2021-2030年支持新型显示产业发展进口税收政策管理办法由财政部、海关总署、税务总局会同国家发展改革委、工业和信息化部另行制定印发。</w:t>
            </w:r>
            <w:bookmarkStart w:id="0" w:name="_GoBack"/>
            <w:bookmarkEnd w:id="0"/>
          </w:p>
          <w:p w:rsidR="004B4C63" w:rsidRDefault="004B4C63" w:rsidP="004B4C63">
            <w:pPr>
              <w:snapToGrid w:val="0"/>
              <w:spacing w:line="360" w:lineRule="auto"/>
              <w:rPr>
                <w:rFonts w:ascii="宋体" w:eastAsia="宋体" w:hAnsi="宋体" w:hint="eastAsia"/>
                <w:szCs w:val="21"/>
              </w:rPr>
            </w:pPr>
          </w:p>
          <w:p w:rsidR="004B4C63" w:rsidRDefault="004B4C63" w:rsidP="004B4C63">
            <w:pPr>
              <w:snapToGrid w:val="0"/>
              <w:spacing w:line="360" w:lineRule="auto"/>
              <w:ind w:firstLine="420"/>
              <w:jc w:val="right"/>
              <w:rPr>
                <w:rFonts w:ascii="宋体" w:eastAsia="宋体" w:hAnsi="宋体" w:hint="eastAsia"/>
                <w:szCs w:val="21"/>
              </w:rPr>
            </w:pPr>
            <w:r>
              <w:rPr>
                <w:rFonts w:ascii="宋体" w:eastAsia="宋体" w:hAnsi="宋体" w:hint="eastAsia"/>
                <w:szCs w:val="21"/>
              </w:rPr>
              <w:t xml:space="preserve">财 政 部       </w:t>
            </w:r>
          </w:p>
          <w:p w:rsidR="004B4C63" w:rsidRDefault="004B4C63" w:rsidP="004B4C63">
            <w:pPr>
              <w:snapToGrid w:val="0"/>
              <w:spacing w:line="360" w:lineRule="auto"/>
              <w:ind w:firstLine="420"/>
              <w:jc w:val="right"/>
              <w:rPr>
                <w:rFonts w:ascii="宋体" w:eastAsia="宋体" w:hAnsi="宋体" w:hint="eastAsia"/>
                <w:szCs w:val="21"/>
              </w:rPr>
            </w:pPr>
            <w:r>
              <w:rPr>
                <w:rFonts w:ascii="宋体" w:eastAsia="宋体" w:hAnsi="宋体" w:hint="eastAsia"/>
                <w:szCs w:val="21"/>
              </w:rPr>
              <w:t xml:space="preserve"> 海关总署        </w:t>
            </w:r>
          </w:p>
          <w:p w:rsidR="004B4C63" w:rsidRDefault="004B4C63" w:rsidP="004B4C63">
            <w:pPr>
              <w:snapToGrid w:val="0"/>
              <w:spacing w:line="360" w:lineRule="auto"/>
              <w:ind w:firstLine="420"/>
              <w:jc w:val="right"/>
              <w:rPr>
                <w:rFonts w:ascii="宋体" w:eastAsia="宋体" w:hAnsi="宋体" w:hint="eastAsia"/>
                <w:szCs w:val="21"/>
              </w:rPr>
            </w:pPr>
            <w:r>
              <w:rPr>
                <w:rFonts w:ascii="宋体" w:eastAsia="宋体" w:hAnsi="宋体" w:hint="eastAsia"/>
                <w:szCs w:val="21"/>
              </w:rPr>
              <w:t>税务总局</w:t>
            </w:r>
          </w:p>
          <w:p w:rsidR="004B4C63" w:rsidRDefault="004B4C63" w:rsidP="004B4C63">
            <w:pPr>
              <w:snapToGrid w:val="0"/>
              <w:spacing w:line="360" w:lineRule="auto"/>
              <w:jc w:val="right"/>
              <w:rPr>
                <w:rFonts w:ascii="宋体" w:eastAsia="宋体" w:hAnsi="宋体" w:hint="eastAsia"/>
                <w:szCs w:val="21"/>
              </w:rPr>
            </w:pPr>
            <w:r>
              <w:rPr>
                <w:rFonts w:ascii="宋体" w:eastAsia="宋体" w:hAnsi="宋体" w:hint="eastAsia"/>
                <w:szCs w:val="21"/>
              </w:rPr>
              <w:t>2021年3月31日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A1" w:rsidRDefault="003034A1" w:rsidP="00C278F4">
      <w:r>
        <w:separator/>
      </w:r>
    </w:p>
  </w:endnote>
  <w:endnote w:type="continuationSeparator" w:id="0">
    <w:p w:rsidR="003034A1" w:rsidRDefault="003034A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A1" w:rsidRDefault="003034A1" w:rsidP="00C278F4">
      <w:r>
        <w:separator/>
      </w:r>
    </w:p>
  </w:footnote>
  <w:footnote w:type="continuationSeparator" w:id="0">
    <w:p w:rsidR="003034A1" w:rsidRDefault="003034A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34A1"/>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B4C63"/>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79446775">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855000448">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16CA-9F6E-40C3-ACEC-CCE9EB43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364</Words>
  <Characters>2077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81</cp:revision>
  <dcterms:created xsi:type="dcterms:W3CDTF">2016-01-15T03:23:00Z</dcterms:created>
  <dcterms:modified xsi:type="dcterms:W3CDTF">2021-04-19T01:12:00Z</dcterms:modified>
</cp:coreProperties>
</file>