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E92B4B" w:rsidTr="00E92B4B">
        <w:tc>
          <w:tcPr>
            <w:tcW w:w="4785" w:type="dxa"/>
          </w:tcPr>
          <w:p w:rsidR="009E4D17" w:rsidRPr="00EE4071" w:rsidRDefault="009E4D17" w:rsidP="00EE4071">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EE4071">
              <w:rPr>
                <w:rFonts w:ascii="한컴바탕" w:eastAsia="한컴바탕" w:hAnsi="한컴바탕" w:cs="한컴바탕" w:hint="eastAsia"/>
                <w:b/>
                <w:sz w:val="26"/>
                <w:szCs w:val="26"/>
                <w:shd w:val="clear" w:color="auto" w:fill="FFFFFF"/>
                <w:lang w:eastAsia="ko-KR"/>
              </w:rPr>
              <w:t>상업건강보험</w:t>
            </w:r>
            <w:r w:rsidRPr="00EE4071">
              <w:rPr>
                <w:rFonts w:ascii="한컴바탕" w:eastAsia="한컴바탕" w:hAnsi="한컴바탕" w:cs="한컴바탕"/>
                <w:b/>
                <w:sz w:val="26"/>
                <w:szCs w:val="26"/>
                <w:shd w:val="clear" w:color="auto" w:fill="FFFFFF"/>
                <w:lang w:eastAsia="ko-KR"/>
              </w:rPr>
              <w:t xml:space="preserve"> 개인소득세 정책 시범사업 실시에 관한 통지</w:t>
            </w:r>
          </w:p>
          <w:p w:rsidR="009E4D17" w:rsidRPr="00EE4071" w:rsidRDefault="009E4D17" w:rsidP="00EE4071">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EE4071">
              <w:rPr>
                <w:rFonts w:ascii="한컴바탕" w:eastAsia="한컴바탕" w:hAnsi="한컴바탕" w:cs="한컴바탕" w:hint="eastAsia"/>
                <w:szCs w:val="21"/>
                <w:shd w:val="clear" w:color="auto" w:fill="FFFFFF"/>
                <w:lang w:eastAsia="ko-KR"/>
              </w:rPr>
              <w:t>재세</w:t>
            </w:r>
            <w:r w:rsidRPr="00EE4071">
              <w:rPr>
                <w:rFonts w:ascii="한컴바탕" w:eastAsia="한컴바탕" w:hAnsi="한컴바탕" w:cs="한컴바탕"/>
                <w:szCs w:val="21"/>
                <w:shd w:val="clear" w:color="auto" w:fill="FFFFFF"/>
                <w:lang w:eastAsia="ko-KR"/>
              </w:rPr>
              <w:t>[2015]126호</w:t>
            </w:r>
          </w:p>
          <w:p w:rsidR="009E4D17" w:rsidRPr="009E4D17" w:rsidRDefault="009E4D17" w:rsidP="009E4D17">
            <w:pPr>
              <w:wordWrap w:val="0"/>
              <w:topLinePunct/>
              <w:snapToGrid w:val="0"/>
              <w:spacing w:line="360" w:lineRule="auto"/>
              <w:rPr>
                <w:rFonts w:ascii="Gulim" w:hAnsi="Gulim"/>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각</w:t>
            </w:r>
            <w:r w:rsidRPr="009E4D17">
              <w:rPr>
                <w:rFonts w:ascii="한컴바탕" w:eastAsia="한컴바탕" w:hAnsi="한컴바탕" w:cs="한컴바탕"/>
                <w:szCs w:val="21"/>
                <w:lang w:eastAsia="ko-KR"/>
              </w:rPr>
              <w:t xml:space="preserve"> 성•자치구•직할시•</w:t>
            </w:r>
            <w:proofErr w:type="spellStart"/>
            <w:r w:rsidRPr="009E4D17">
              <w:rPr>
                <w:rFonts w:ascii="한컴바탕" w:eastAsia="한컴바탕" w:hAnsi="한컴바탕" w:cs="한컴바탕"/>
                <w:szCs w:val="21"/>
                <w:lang w:eastAsia="ko-KR"/>
              </w:rPr>
              <w:t>계획단열시</w:t>
            </w:r>
            <w:proofErr w:type="spell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재정청</w:t>
            </w:r>
            <w:proofErr w:type="spellEnd"/>
            <w:r w:rsidRPr="009E4D17">
              <w:rPr>
                <w:rFonts w:ascii="한컴바탕" w:eastAsia="한컴바탕" w:hAnsi="한컴바탕" w:cs="한컴바탕"/>
                <w:szCs w:val="21"/>
                <w:lang w:eastAsia="ko-KR"/>
              </w:rPr>
              <w:t xml:space="preserve">(국), </w:t>
            </w:r>
            <w:proofErr w:type="spellStart"/>
            <w:r w:rsidRPr="009E4D17">
              <w:rPr>
                <w:rFonts w:ascii="한컴바탕" w:eastAsia="한컴바탕" w:hAnsi="한컴바탕" w:cs="한컴바탕"/>
                <w:szCs w:val="21"/>
                <w:lang w:eastAsia="ko-KR"/>
              </w:rPr>
              <w:t>지방세무국</w:t>
            </w:r>
            <w:proofErr w:type="spellEnd"/>
            <w:r w:rsidRPr="009E4D17">
              <w:rPr>
                <w:rFonts w:ascii="한컴바탕" w:eastAsia="한컴바탕" w:hAnsi="한컴바탕" w:cs="한컴바탕"/>
                <w:szCs w:val="21"/>
                <w:lang w:eastAsia="ko-KR"/>
              </w:rPr>
              <w:t>, 각 보험감독관리국, 신장(</w:t>
            </w:r>
            <w:proofErr w:type="spellStart"/>
            <w:r w:rsidRPr="009E4D17">
              <w:rPr>
                <w:rFonts w:ascii="한컴바탕" w:eastAsia="한컴바탕" w:hAnsi="한컴바탕" w:cs="한컴바탕" w:hint="eastAsia"/>
                <w:szCs w:val="21"/>
                <w:lang w:eastAsia="ko-KR"/>
              </w:rPr>
              <w:t>新疆</w:t>
            </w:r>
            <w:proofErr w:type="spellEnd"/>
            <w:r w:rsidRPr="009E4D17">
              <w:rPr>
                <w:rFonts w:ascii="한컴바탕" w:eastAsia="한컴바탕" w:hAnsi="한컴바탕" w:cs="한컴바탕"/>
                <w:szCs w:val="21"/>
                <w:lang w:eastAsia="ko-KR"/>
              </w:rPr>
              <w:t>)</w:t>
            </w:r>
            <w:proofErr w:type="spellStart"/>
            <w:r w:rsidRPr="009E4D17">
              <w:rPr>
                <w:rFonts w:ascii="한컴바탕" w:eastAsia="한컴바탕" w:hAnsi="한컴바탕" w:cs="한컴바탕"/>
                <w:szCs w:val="21"/>
                <w:lang w:eastAsia="ko-KR"/>
              </w:rPr>
              <w:t>생산건설병단</w:t>
            </w:r>
            <w:proofErr w:type="spellEnd"/>
            <w:r w:rsidRPr="009E4D17">
              <w:rPr>
                <w:rFonts w:ascii="한컴바탕" w:eastAsia="한컴바탕" w:hAnsi="한컴바탕" w:cs="한컴바탕"/>
                <w:szCs w:val="21"/>
                <w:lang w:eastAsia="ko-KR"/>
              </w:rPr>
              <w:t xml:space="preserve"> </w:t>
            </w:r>
            <w:proofErr w:type="spellStart"/>
            <w:proofErr w:type="gramStart"/>
            <w:r w:rsidRPr="009E4D17">
              <w:rPr>
                <w:rFonts w:ascii="한컴바탕" w:eastAsia="한컴바탕" w:hAnsi="한컴바탕" w:cs="한컴바탕"/>
                <w:szCs w:val="21"/>
                <w:lang w:eastAsia="ko-KR"/>
              </w:rPr>
              <w:t>재무국</w:t>
            </w:r>
            <w:proofErr w:type="spellEnd"/>
            <w:r w:rsidRPr="009E4D17">
              <w:rPr>
                <w:rFonts w:ascii="한컴바탕" w:eastAsia="한컴바탕" w:hAnsi="한컴바탕" w:cs="한컴바탕"/>
                <w:szCs w:val="21"/>
                <w:lang w:eastAsia="ko-KR"/>
              </w:rPr>
              <w:t xml:space="preserve"> :</w:t>
            </w:r>
            <w:proofErr w:type="gramEnd"/>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EE4071" w:rsidRDefault="009E4D17" w:rsidP="00EE4071">
            <w:pPr>
              <w:wordWrap w:val="0"/>
              <w:topLinePunct/>
              <w:autoSpaceDN w:val="0"/>
              <w:spacing w:line="290" w:lineRule="atLeast"/>
              <w:ind w:firstLineChars="200" w:firstLine="484"/>
              <w:rPr>
                <w:rFonts w:ascii="한컴바탕" w:eastAsia="한컴바탕" w:hAnsi="한컴바탕" w:cs="한컴바탕"/>
                <w:spacing w:val="16"/>
                <w:szCs w:val="21"/>
                <w:lang w:eastAsia="ko-KR"/>
              </w:rPr>
            </w:pPr>
            <w:r w:rsidRPr="00EE4071">
              <w:rPr>
                <w:rFonts w:ascii="한컴바탕" w:eastAsia="한컴바탕" w:hAnsi="한컴바탕" w:cs="한컴바탕" w:hint="eastAsia"/>
                <w:spacing w:val="16"/>
                <w:szCs w:val="21"/>
                <w:lang w:eastAsia="ko-KR"/>
              </w:rPr>
              <w:t>국무원</w:t>
            </w:r>
            <w:r w:rsidRPr="00EE4071">
              <w:rPr>
                <w:rFonts w:ascii="한컴바탕" w:eastAsia="한컴바탕" w:hAnsi="한컴바탕" w:cs="한컴바탕"/>
                <w:spacing w:val="16"/>
                <w:szCs w:val="21"/>
                <w:lang w:eastAsia="ko-KR"/>
              </w:rPr>
              <w:t xml:space="preserve"> 상무회의 취지에 근거하여 &lt;상업건강보험 개인소득세 정책 시범사업 추진에 관한 </w:t>
            </w:r>
            <w:proofErr w:type="spellStart"/>
            <w:r w:rsidRPr="00EE4071">
              <w:rPr>
                <w:rFonts w:ascii="한컴바탕" w:eastAsia="한컴바탕" w:hAnsi="한컴바탕" w:cs="한컴바탕"/>
                <w:spacing w:val="16"/>
                <w:szCs w:val="21"/>
                <w:lang w:eastAsia="ko-KR"/>
              </w:rPr>
              <w:t>재정부</w:t>
            </w:r>
            <w:proofErr w:type="spellEnd"/>
            <w:r w:rsidRPr="00EE4071">
              <w:rPr>
                <w:rFonts w:ascii="한컴바탕" w:eastAsia="한컴바탕" w:hAnsi="한컴바탕" w:cs="한컴바탕"/>
                <w:spacing w:val="16"/>
                <w:szCs w:val="21"/>
                <w:lang w:eastAsia="ko-KR"/>
              </w:rPr>
              <w:t>•국가세무총국•</w:t>
            </w:r>
            <w:proofErr w:type="spellStart"/>
            <w:r w:rsidRPr="00EE4071">
              <w:rPr>
                <w:rFonts w:ascii="한컴바탕" w:eastAsia="한컴바탕" w:hAnsi="한컴바탕" w:cs="한컴바탕"/>
                <w:spacing w:val="16"/>
                <w:szCs w:val="21"/>
                <w:lang w:eastAsia="ko-KR"/>
              </w:rPr>
              <w:t>보감위의</w:t>
            </w:r>
            <w:proofErr w:type="spellEnd"/>
            <w:r w:rsidRPr="00EE4071">
              <w:rPr>
                <w:rFonts w:ascii="한컴바탕" w:eastAsia="한컴바탕" w:hAnsi="한컴바탕" w:cs="한컴바탕"/>
                <w:spacing w:val="16"/>
                <w:szCs w:val="21"/>
                <w:lang w:eastAsia="ko-KR"/>
              </w:rPr>
              <w:t xml:space="preserve"> 통지&gt;(재세[2015]56호)의 관련 요구에 따라 상업건강보험 개인소득세 정책 시범사업 실시에 관한 사항을 아래와 같이 통보한다.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1.</w:t>
            </w:r>
            <w:r w:rsidRPr="009E4D17">
              <w:rPr>
                <w:rFonts w:ascii="한컴바탕" w:eastAsia="한컴바탕" w:hAnsi="한컴바탕" w:cs="한컴바탕"/>
                <w:szCs w:val="21"/>
                <w:lang w:eastAsia="ko-KR"/>
              </w:rPr>
              <w:tab/>
              <w:t>시범지역에 관한 문제</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상업건강보험</w:t>
            </w:r>
            <w:r w:rsidRPr="009E4D17">
              <w:rPr>
                <w:rFonts w:ascii="한컴바탕" w:eastAsia="한컴바탕" w:hAnsi="한컴바탕" w:cs="한컴바탕"/>
                <w:szCs w:val="21"/>
                <w:lang w:eastAsia="ko-KR"/>
              </w:rPr>
              <w:t xml:space="preserve"> 개인소득세 정책 시범사업 추진지역은 다음과 같다.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(1)</w:t>
            </w:r>
            <w:r w:rsidRPr="009E4D17">
              <w:rPr>
                <w:rFonts w:ascii="한컴바탕" w:eastAsia="한컴바탕" w:hAnsi="한컴바탕" w:cs="한컴바탕"/>
                <w:szCs w:val="21"/>
                <w:lang w:eastAsia="ko-KR"/>
              </w:rPr>
              <w:tab/>
              <w:t>베이징(</w:t>
            </w:r>
            <w:r w:rsidRPr="009E4D17">
              <w:rPr>
                <w:rFonts w:ascii="한컴바탕" w:eastAsia="한컴바탕" w:hAnsi="한컴바탕" w:cs="한컴바탕" w:hint="eastAsia"/>
                <w:szCs w:val="21"/>
                <w:lang w:eastAsia="ko-KR"/>
              </w:rPr>
              <w:t>北京</w:t>
            </w:r>
            <w:r w:rsidRPr="009E4D17">
              <w:rPr>
                <w:rFonts w:ascii="한컴바탕" w:eastAsia="한컴바탕" w:hAnsi="한컴바탕" w:cs="한컴바탕"/>
                <w:szCs w:val="21"/>
                <w:lang w:eastAsia="ko-KR"/>
              </w:rPr>
              <w:t>)시, 상하이(</w:t>
            </w:r>
            <w:r w:rsidRPr="009E4D17">
              <w:rPr>
                <w:rFonts w:ascii="한컴바탕" w:eastAsia="한컴바탕" w:hAnsi="한컴바탕" w:cs="한컴바탕" w:hint="eastAsia"/>
                <w:szCs w:val="21"/>
                <w:lang w:eastAsia="ko-KR"/>
              </w:rPr>
              <w:t>上海</w:t>
            </w:r>
            <w:r w:rsidRPr="009E4D17">
              <w:rPr>
                <w:rFonts w:ascii="한컴바탕" w:eastAsia="한컴바탕" w:hAnsi="한컴바탕" w:cs="한컴바탕"/>
                <w:szCs w:val="21"/>
                <w:lang w:eastAsia="ko-KR"/>
              </w:rPr>
              <w:t xml:space="preserve">)시, </w:t>
            </w:r>
            <w:proofErr w:type="spellStart"/>
            <w:r w:rsidRPr="009E4D17">
              <w:rPr>
                <w:rFonts w:ascii="한컴바탕" w:eastAsia="한컴바탕" w:hAnsi="한컴바탕" w:cs="한컴바탕"/>
                <w:szCs w:val="21"/>
                <w:lang w:eastAsia="ko-KR"/>
              </w:rPr>
              <w:t>톈진</w:t>
            </w:r>
            <w:proofErr w:type="spellEnd"/>
            <w:r w:rsidRPr="009E4D17">
              <w:rPr>
                <w:rFonts w:ascii="한컴바탕" w:eastAsia="한컴바탕" w:hAnsi="한컴바탕" w:cs="한컴바탕"/>
                <w:szCs w:val="21"/>
                <w:lang w:eastAsia="ko-KR"/>
              </w:rPr>
              <w:t>(</w:t>
            </w:r>
            <w:r w:rsidRPr="009E4D17">
              <w:rPr>
                <w:rFonts w:ascii="한컴바탕" w:eastAsia="한컴바탕" w:hAnsi="한컴바탕" w:cs="한컴바탕" w:hint="eastAsia"/>
                <w:szCs w:val="21"/>
                <w:lang w:eastAsia="ko-KR"/>
              </w:rPr>
              <w:t>天津</w:t>
            </w:r>
            <w:r w:rsidRPr="009E4D17">
              <w:rPr>
                <w:rFonts w:ascii="한컴바탕" w:eastAsia="한컴바탕" w:hAnsi="한컴바탕" w:cs="한컴바탕"/>
                <w:szCs w:val="21"/>
                <w:lang w:eastAsia="ko-KR"/>
              </w:rPr>
              <w:t xml:space="preserve">)시, </w:t>
            </w:r>
            <w:proofErr w:type="spellStart"/>
            <w:r w:rsidRPr="009E4D17">
              <w:rPr>
                <w:rFonts w:ascii="한컴바탕" w:eastAsia="한컴바탕" w:hAnsi="한컴바탕" w:cs="한컴바탕"/>
                <w:szCs w:val="21"/>
                <w:lang w:eastAsia="ko-KR"/>
              </w:rPr>
              <w:t>충칭</w:t>
            </w:r>
            <w:proofErr w:type="spellEnd"/>
            <w:r w:rsidRPr="009E4D17">
              <w:rPr>
                <w:rFonts w:ascii="한컴바탕" w:eastAsia="한컴바탕" w:hAnsi="한컴바탕" w:cs="한컴바탕"/>
                <w:szCs w:val="21"/>
                <w:lang w:eastAsia="ko-KR"/>
              </w:rPr>
              <w:t>(</w:t>
            </w:r>
            <w:r w:rsidRPr="009E4D17">
              <w:rPr>
                <w:rFonts w:ascii="한컴바탕" w:eastAsia="한컴바탕" w:hAnsi="한컴바탕" w:cs="한컴바탕" w:hint="eastAsia"/>
                <w:szCs w:val="21"/>
                <w:lang w:eastAsia="ko-KR"/>
              </w:rPr>
              <w:t>重慶</w:t>
            </w:r>
            <w:r w:rsidRPr="009E4D17">
              <w:rPr>
                <w:rFonts w:ascii="한컴바탕" w:eastAsia="한컴바탕" w:hAnsi="한컴바탕" w:cs="한컴바탕"/>
                <w:szCs w:val="21"/>
                <w:lang w:eastAsia="ko-KR"/>
              </w:rPr>
              <w:t>)시.</w:t>
            </w:r>
          </w:p>
          <w:p w:rsidR="009E4D17" w:rsidRDefault="009E4D17" w:rsidP="00EE4071">
            <w:pPr>
              <w:wordWrap w:val="0"/>
              <w:topLinePunct/>
              <w:autoSpaceDN w:val="0"/>
              <w:spacing w:line="290" w:lineRule="atLeast"/>
              <w:ind w:firstLineChars="200" w:firstLine="348"/>
              <w:rPr>
                <w:rFonts w:ascii="한컴바탕" w:eastAsia="한컴바탕" w:hAnsi="한컴바탕" w:cs="한컴바탕" w:hint="eastAsia"/>
                <w:spacing w:val="-18"/>
                <w:szCs w:val="21"/>
                <w:lang w:eastAsia="ko-KR"/>
              </w:rPr>
            </w:pPr>
            <w:r w:rsidRPr="00EE4071">
              <w:rPr>
                <w:rFonts w:ascii="한컴바탕" w:eastAsia="한컴바탕" w:hAnsi="한컴바탕" w:cs="한컴바탕"/>
                <w:spacing w:val="-18"/>
                <w:szCs w:val="21"/>
                <w:lang w:eastAsia="ko-KR"/>
              </w:rPr>
              <w:t>(2)</w:t>
            </w:r>
            <w:r w:rsidRPr="00EE4071">
              <w:rPr>
                <w:rFonts w:ascii="한컴바탕" w:eastAsia="한컴바탕" w:hAnsi="한컴바탕" w:cs="한컴바탕"/>
                <w:spacing w:val="-18"/>
                <w:szCs w:val="21"/>
                <w:lang w:eastAsia="ko-KR"/>
              </w:rPr>
              <w:tab/>
            </w:r>
            <w:proofErr w:type="spellStart"/>
            <w:r w:rsidRPr="00EE4071">
              <w:rPr>
                <w:rFonts w:ascii="한컴바탕" w:eastAsia="한컴바탕" w:hAnsi="한컴바탕" w:cs="한컴바탕"/>
                <w:spacing w:val="-18"/>
                <w:szCs w:val="21"/>
                <w:lang w:eastAsia="ko-KR"/>
              </w:rPr>
              <w:t>허베이</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河北</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스자좡</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石家庄</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산시</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山西</w:t>
            </w:r>
            <w:proofErr w:type="spellEnd"/>
            <w:r w:rsidRPr="00EE4071">
              <w:rPr>
                <w:rFonts w:ascii="한컴바탕" w:eastAsia="한컴바탕" w:hAnsi="한컴바탕" w:cs="한컴바탕"/>
                <w:spacing w:val="-18"/>
                <w:szCs w:val="21"/>
                <w:lang w:eastAsia="ko-KR"/>
              </w:rPr>
              <w:t>)성 타이위안(</w:t>
            </w:r>
            <w:r w:rsidRPr="00EE4071">
              <w:rPr>
                <w:rFonts w:ascii="한컴바탕" w:eastAsia="한컴바탕" w:hAnsi="한컴바탕" w:cs="한컴바탕" w:hint="eastAsia"/>
                <w:spacing w:val="-18"/>
                <w:szCs w:val="21"/>
                <w:lang w:eastAsia="ko-KR"/>
              </w:rPr>
              <w:t>太原</w:t>
            </w:r>
            <w:r w:rsidRPr="00EE4071">
              <w:rPr>
                <w:rFonts w:ascii="한컴바탕" w:eastAsia="한컴바탕" w:hAnsi="한컴바탕" w:cs="한컴바탕"/>
                <w:spacing w:val="-18"/>
                <w:szCs w:val="21"/>
                <w:lang w:eastAsia="ko-KR"/>
              </w:rPr>
              <w:t>)시, 내몽고(</w:t>
            </w:r>
            <w:r w:rsidRPr="00EE4071">
              <w:rPr>
                <w:rFonts w:ascii="한컴바탕" w:eastAsia="한컴바탕" w:hAnsi="한컴바탕" w:cs="한컴바탕" w:hint="eastAsia"/>
                <w:spacing w:val="-18"/>
                <w:szCs w:val="21"/>
                <w:lang w:eastAsia="ko-KR"/>
              </w:rPr>
              <w:t>內蒙古</w:t>
            </w:r>
            <w:r w:rsidRPr="00EE4071">
              <w:rPr>
                <w:rFonts w:ascii="한컴바탕" w:eastAsia="한컴바탕" w:hAnsi="한컴바탕" w:cs="한컴바탕"/>
                <w:spacing w:val="-18"/>
                <w:szCs w:val="21"/>
                <w:lang w:eastAsia="ko-KR"/>
              </w:rPr>
              <w:t xml:space="preserve">)자치구 </w:t>
            </w:r>
            <w:proofErr w:type="spellStart"/>
            <w:r w:rsidRPr="00EE4071">
              <w:rPr>
                <w:rFonts w:ascii="한컴바탕" w:eastAsia="한컴바탕" w:hAnsi="한컴바탕" w:cs="한컴바탕"/>
                <w:spacing w:val="-18"/>
                <w:szCs w:val="21"/>
                <w:lang w:eastAsia="ko-KR"/>
              </w:rPr>
              <w:t>후허하오터</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呼和浩特</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랴오닝</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遼寧</w:t>
            </w:r>
            <w:proofErr w:type="spellEnd"/>
            <w:r w:rsidRPr="00EE4071">
              <w:rPr>
                <w:rFonts w:ascii="한컴바탕" w:eastAsia="한컴바탕" w:hAnsi="한컴바탕" w:cs="한컴바탕"/>
                <w:spacing w:val="-18"/>
                <w:szCs w:val="21"/>
                <w:lang w:eastAsia="ko-KR"/>
              </w:rPr>
              <w:t>)성 선양(</w:t>
            </w:r>
            <w:r w:rsidRPr="00EE4071">
              <w:rPr>
                <w:rFonts w:ascii="한컴바탕" w:eastAsia="한컴바탕" w:hAnsi="한컴바탕" w:cs="한컴바탕" w:hint="eastAsia"/>
                <w:spacing w:val="-18"/>
                <w:szCs w:val="21"/>
                <w:lang w:eastAsia="ko-KR"/>
              </w:rPr>
              <w:t>沈陽</w:t>
            </w:r>
            <w:r w:rsidRPr="00EE4071">
              <w:rPr>
                <w:rFonts w:ascii="한컴바탕" w:eastAsia="한컴바탕" w:hAnsi="한컴바탕" w:cs="한컴바탕"/>
                <w:spacing w:val="-18"/>
                <w:szCs w:val="21"/>
                <w:lang w:eastAsia="ko-KR"/>
              </w:rPr>
              <w:t>)시, 지린(</w:t>
            </w:r>
            <w:r w:rsidRPr="00EE4071">
              <w:rPr>
                <w:rFonts w:ascii="한컴바탕" w:eastAsia="한컴바탕" w:hAnsi="한컴바탕" w:cs="한컴바탕" w:hint="eastAsia"/>
                <w:spacing w:val="-18"/>
                <w:szCs w:val="21"/>
                <w:lang w:eastAsia="ko-KR"/>
              </w:rPr>
              <w:t>吉林</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창춘</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長春</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헤이룽쟝</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黑龍江</w:t>
            </w:r>
            <w:proofErr w:type="spellEnd"/>
            <w:r w:rsidRPr="00EE4071">
              <w:rPr>
                <w:rFonts w:ascii="한컴바탕" w:eastAsia="한컴바탕" w:hAnsi="한컴바탕" w:cs="한컴바탕"/>
                <w:spacing w:val="-18"/>
                <w:szCs w:val="21"/>
                <w:lang w:eastAsia="ko-KR"/>
              </w:rPr>
              <w:t>)성 하얼빈(</w:t>
            </w:r>
            <w:proofErr w:type="spellStart"/>
            <w:r w:rsidRPr="00EE4071">
              <w:rPr>
                <w:rFonts w:ascii="한컴바탕" w:eastAsia="한컴바탕" w:hAnsi="한컴바탕" w:cs="한컴바탕" w:hint="eastAsia"/>
                <w:spacing w:val="-18"/>
                <w:szCs w:val="21"/>
                <w:lang w:eastAsia="ko-KR"/>
              </w:rPr>
              <w:t>哈爾濱</w:t>
            </w:r>
            <w:proofErr w:type="spellEnd"/>
            <w:r w:rsidRPr="00EE4071">
              <w:rPr>
                <w:rFonts w:ascii="한컴바탕" w:eastAsia="한컴바탕" w:hAnsi="한컴바탕" w:cs="한컴바탕"/>
                <w:spacing w:val="-18"/>
                <w:szCs w:val="21"/>
                <w:lang w:eastAsia="ko-KR"/>
              </w:rPr>
              <w:t>)시, 장수(</w:t>
            </w:r>
            <w:r w:rsidRPr="00EE4071">
              <w:rPr>
                <w:rFonts w:ascii="한컴바탕" w:eastAsia="한컴바탕" w:hAnsi="한컴바탕" w:cs="한컴바탕" w:hint="eastAsia"/>
                <w:spacing w:val="-18"/>
                <w:szCs w:val="21"/>
                <w:lang w:eastAsia="ko-KR"/>
              </w:rPr>
              <w:t>江西</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수저우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蘇州</w:t>
            </w:r>
            <w:r w:rsidRPr="00EE4071">
              <w:rPr>
                <w:rFonts w:ascii="한컴바탕" w:eastAsia="한컴바탕" w:hAnsi="한컴바탕" w:cs="한컴바탕"/>
                <w:spacing w:val="-18"/>
                <w:szCs w:val="21"/>
                <w:lang w:eastAsia="ko-KR"/>
              </w:rPr>
              <w:t>)시, 저장(</w:t>
            </w:r>
            <w:proofErr w:type="spellStart"/>
            <w:r w:rsidRPr="00EE4071">
              <w:rPr>
                <w:rFonts w:ascii="한컴바탕" w:eastAsia="한컴바탕" w:hAnsi="한컴바탕" w:cs="한컴바탕" w:hint="eastAsia"/>
                <w:spacing w:val="-18"/>
                <w:szCs w:val="21"/>
                <w:lang w:eastAsia="ko-KR"/>
              </w:rPr>
              <w:t>浙江</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닝보</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寧波</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안후이</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安徽</w:t>
            </w:r>
            <w:proofErr w:type="spellEnd"/>
            <w:r w:rsidRPr="00EE4071">
              <w:rPr>
                <w:rFonts w:ascii="한컴바탕" w:eastAsia="한컴바탕" w:hAnsi="한컴바탕" w:cs="한컴바탕"/>
                <w:spacing w:val="-18"/>
                <w:szCs w:val="21"/>
                <w:lang w:eastAsia="ko-KR"/>
              </w:rPr>
              <w:t>)성 우후(</w:t>
            </w:r>
            <w:r w:rsidRPr="00EE4071">
              <w:rPr>
                <w:rFonts w:ascii="한컴바탕" w:eastAsia="한컴바탕" w:hAnsi="한컴바탕" w:cs="한컴바탕" w:hint="eastAsia"/>
                <w:spacing w:val="-18"/>
                <w:szCs w:val="21"/>
                <w:lang w:eastAsia="ko-KR"/>
              </w:rPr>
              <w:t>蕪湖</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푸젠</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福建</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푸저우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福州</w:t>
            </w:r>
            <w:r w:rsidRPr="00EE4071">
              <w:rPr>
                <w:rFonts w:ascii="한컴바탕" w:eastAsia="한컴바탕" w:hAnsi="한컴바탕" w:cs="한컴바탕"/>
                <w:spacing w:val="-18"/>
                <w:szCs w:val="21"/>
                <w:lang w:eastAsia="ko-KR"/>
              </w:rPr>
              <w:t>)시, 장시(</w:t>
            </w:r>
            <w:r w:rsidRPr="00EE4071">
              <w:rPr>
                <w:rFonts w:ascii="한컴바탕" w:eastAsia="한컴바탕" w:hAnsi="한컴바탕" w:cs="한컴바탕" w:hint="eastAsia"/>
                <w:spacing w:val="-18"/>
                <w:szCs w:val="21"/>
                <w:lang w:eastAsia="ko-KR"/>
              </w:rPr>
              <w:t>江西</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난창</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南昌</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산둥</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山東</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칭다오</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靑島</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허난</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河南</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정저우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鄭州</w:t>
            </w:r>
            <w:r w:rsidRPr="00EE4071">
              <w:rPr>
                <w:rFonts w:ascii="한컴바탕" w:eastAsia="한컴바탕" w:hAnsi="한컴바탕" w:cs="한컴바탕"/>
                <w:spacing w:val="-18"/>
                <w:szCs w:val="21"/>
                <w:lang w:eastAsia="ko-KR"/>
              </w:rPr>
              <w:t>)시(궁이(</w:t>
            </w:r>
            <w:r w:rsidRPr="00EE4071">
              <w:rPr>
                <w:rFonts w:ascii="한컴바탕" w:eastAsia="한컴바탕" w:hAnsi="한컴바탕" w:cs="한컴바탕" w:hint="eastAsia"/>
                <w:spacing w:val="-18"/>
                <w:szCs w:val="21"/>
                <w:lang w:eastAsia="ko-KR"/>
              </w:rPr>
              <w:t>巩義</w:t>
            </w:r>
            <w:r w:rsidRPr="00EE4071">
              <w:rPr>
                <w:rFonts w:ascii="한컴바탕" w:eastAsia="한컴바탕" w:hAnsi="한컴바탕" w:cs="한컴바탕"/>
                <w:spacing w:val="-18"/>
                <w:szCs w:val="21"/>
                <w:lang w:eastAsia="ko-KR"/>
              </w:rPr>
              <w:t xml:space="preserve">)시 포함), </w:t>
            </w:r>
            <w:proofErr w:type="spellStart"/>
            <w:r w:rsidRPr="00EE4071">
              <w:rPr>
                <w:rFonts w:ascii="한컴바탕" w:eastAsia="한컴바탕" w:hAnsi="한컴바탕" w:cs="한컴바탕"/>
                <w:spacing w:val="-18"/>
                <w:szCs w:val="21"/>
                <w:lang w:eastAsia="ko-KR"/>
              </w:rPr>
              <w:t>허베이</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湖北</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우한</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武漢</w:t>
            </w:r>
            <w:r w:rsidRPr="00EE4071">
              <w:rPr>
                <w:rFonts w:ascii="한컴바탕" w:eastAsia="한컴바탕" w:hAnsi="한컴바탕" w:cs="한컴바탕"/>
                <w:spacing w:val="-18"/>
                <w:szCs w:val="21"/>
                <w:lang w:eastAsia="ko-KR"/>
              </w:rPr>
              <w:t>)시, 후난(</w:t>
            </w:r>
            <w:r w:rsidRPr="00EE4071">
              <w:rPr>
                <w:rFonts w:ascii="한컴바탕" w:eastAsia="한컴바탕" w:hAnsi="한컴바탕" w:cs="한컴바탕" w:hint="eastAsia"/>
                <w:spacing w:val="-18"/>
                <w:szCs w:val="21"/>
                <w:lang w:eastAsia="ko-KR"/>
              </w:rPr>
              <w:t>湖南</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주저우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株州</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광둥</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廣東</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광저우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廣州</w:t>
            </w:r>
            <w:r w:rsidRPr="00EE4071">
              <w:rPr>
                <w:rFonts w:ascii="한컴바탕" w:eastAsia="한컴바탕" w:hAnsi="한컴바탕" w:cs="한컴바탕"/>
                <w:spacing w:val="-18"/>
                <w:szCs w:val="21"/>
                <w:lang w:eastAsia="ko-KR"/>
              </w:rPr>
              <w:t>)시, 광시(</w:t>
            </w:r>
            <w:proofErr w:type="spellStart"/>
            <w:r w:rsidRPr="00EE4071">
              <w:rPr>
                <w:rFonts w:ascii="한컴바탕" w:eastAsia="한컴바탕" w:hAnsi="한컴바탕" w:cs="한컴바탕" w:hint="eastAsia"/>
                <w:spacing w:val="-18"/>
                <w:szCs w:val="21"/>
                <w:lang w:eastAsia="ko-KR"/>
              </w:rPr>
              <w:t>廣西</w:t>
            </w:r>
            <w:proofErr w:type="spellEnd"/>
            <w:r w:rsidRPr="00EE4071">
              <w:rPr>
                <w:rFonts w:ascii="한컴바탕" w:eastAsia="한컴바탕" w:hAnsi="한컴바탕" w:cs="한컴바탕"/>
                <w:spacing w:val="-18"/>
                <w:szCs w:val="21"/>
                <w:lang w:eastAsia="ko-KR"/>
              </w:rPr>
              <w:t xml:space="preserve">)장족자치구 </w:t>
            </w:r>
            <w:proofErr w:type="spellStart"/>
            <w:r w:rsidRPr="00EE4071">
              <w:rPr>
                <w:rFonts w:ascii="한컴바탕" w:eastAsia="한컴바탕" w:hAnsi="한컴바탕" w:cs="한컴바탕"/>
                <w:spacing w:val="-18"/>
                <w:szCs w:val="21"/>
                <w:lang w:eastAsia="ko-KR"/>
              </w:rPr>
              <w:t>난닝</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南寧</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하이난</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海南</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하이커우</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海口</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쓰촨</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四川</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청두</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成都</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구이저우</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貴州</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구이양</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貴陽</w:t>
            </w:r>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윈난</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雲南</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취징</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曲靖</w:t>
            </w:r>
            <w:r w:rsidRPr="00EE4071">
              <w:rPr>
                <w:rFonts w:ascii="한컴바탕" w:eastAsia="한컴바탕" w:hAnsi="한컴바탕" w:cs="한컴바탕"/>
                <w:spacing w:val="-18"/>
                <w:szCs w:val="21"/>
                <w:lang w:eastAsia="ko-KR"/>
              </w:rPr>
              <w:t>)시, 시장(</w:t>
            </w:r>
            <w:r w:rsidRPr="00EE4071">
              <w:rPr>
                <w:rFonts w:ascii="한컴바탕" w:eastAsia="한컴바탕" w:hAnsi="한컴바탕" w:cs="한컴바탕" w:hint="eastAsia"/>
                <w:spacing w:val="-18"/>
                <w:szCs w:val="21"/>
                <w:lang w:eastAsia="ko-KR"/>
              </w:rPr>
              <w:t>西藏</w:t>
            </w:r>
            <w:r w:rsidRPr="00EE4071">
              <w:rPr>
                <w:rFonts w:ascii="한컴바탕" w:eastAsia="한컴바탕" w:hAnsi="한컴바탕" w:cs="한컴바탕"/>
                <w:spacing w:val="-18"/>
                <w:szCs w:val="21"/>
                <w:lang w:eastAsia="ko-KR"/>
              </w:rPr>
              <w:t xml:space="preserve">)자치구 </w:t>
            </w:r>
            <w:proofErr w:type="spellStart"/>
            <w:r w:rsidRPr="00EE4071">
              <w:rPr>
                <w:rFonts w:ascii="한컴바탕" w:eastAsia="한컴바탕" w:hAnsi="한컴바탕" w:cs="한컴바탕"/>
                <w:spacing w:val="-18"/>
                <w:szCs w:val="21"/>
                <w:lang w:eastAsia="ko-KR"/>
              </w:rPr>
              <w:t>라사</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拉萨</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산시</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陝西</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바오지</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寶鷄</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간쑤</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甘肅</w:t>
            </w:r>
            <w:proofErr w:type="spellEnd"/>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란저우</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蘭州</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칭하이</w:t>
            </w:r>
            <w:proofErr w:type="spellEnd"/>
            <w:r w:rsidRPr="00EE4071">
              <w:rPr>
                <w:rFonts w:ascii="한컴바탕" w:eastAsia="한컴바탕" w:hAnsi="한컴바탕" w:cs="한컴바탕"/>
                <w:spacing w:val="-18"/>
                <w:szCs w:val="21"/>
                <w:lang w:eastAsia="ko-KR"/>
              </w:rPr>
              <w:t>(</w:t>
            </w:r>
            <w:r w:rsidRPr="00EE4071">
              <w:rPr>
                <w:rFonts w:ascii="한컴바탕" w:eastAsia="한컴바탕" w:hAnsi="한컴바탕" w:cs="한컴바탕" w:hint="eastAsia"/>
                <w:spacing w:val="-18"/>
                <w:szCs w:val="21"/>
                <w:lang w:eastAsia="ko-KR"/>
              </w:rPr>
              <w:t>靑海</w:t>
            </w:r>
            <w:r w:rsidRPr="00EE4071">
              <w:rPr>
                <w:rFonts w:ascii="한컴바탕" w:eastAsia="한컴바탕" w:hAnsi="한컴바탕" w:cs="한컴바탕"/>
                <w:spacing w:val="-18"/>
                <w:szCs w:val="21"/>
                <w:lang w:eastAsia="ko-KR"/>
              </w:rPr>
              <w:t xml:space="preserve">)성 </w:t>
            </w:r>
            <w:proofErr w:type="spellStart"/>
            <w:r w:rsidRPr="00EE4071">
              <w:rPr>
                <w:rFonts w:ascii="한컴바탕" w:eastAsia="한컴바탕" w:hAnsi="한컴바탕" w:cs="한컴바탕"/>
                <w:spacing w:val="-18"/>
                <w:szCs w:val="21"/>
                <w:lang w:eastAsia="ko-KR"/>
              </w:rPr>
              <w:t>시닝</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西寧</w:t>
            </w:r>
            <w:proofErr w:type="spellEnd"/>
            <w:r w:rsidRPr="00EE4071">
              <w:rPr>
                <w:rFonts w:ascii="한컴바탕" w:eastAsia="한컴바탕" w:hAnsi="한컴바탕" w:cs="한컴바탕"/>
                <w:spacing w:val="-18"/>
                <w:szCs w:val="21"/>
                <w:lang w:eastAsia="ko-KR"/>
              </w:rPr>
              <w:t xml:space="preserve">)시, </w:t>
            </w:r>
            <w:proofErr w:type="spellStart"/>
            <w:r w:rsidRPr="00EE4071">
              <w:rPr>
                <w:rFonts w:ascii="한컴바탕" w:eastAsia="한컴바탕" w:hAnsi="한컴바탕" w:cs="한컴바탕"/>
                <w:spacing w:val="-18"/>
                <w:szCs w:val="21"/>
                <w:lang w:eastAsia="ko-KR"/>
              </w:rPr>
              <w:t>닝샤</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寧夏</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spacing w:val="-18"/>
                <w:szCs w:val="21"/>
                <w:lang w:eastAsia="ko-KR"/>
              </w:rPr>
              <w:t>회족자치구</w:t>
            </w:r>
            <w:proofErr w:type="spellEnd"/>
            <w:r w:rsidRPr="00EE4071">
              <w:rPr>
                <w:rFonts w:ascii="한컴바탕" w:eastAsia="한컴바탕" w:hAnsi="한컴바탕" w:cs="한컴바탕"/>
                <w:spacing w:val="-18"/>
                <w:szCs w:val="21"/>
                <w:lang w:eastAsia="ko-KR"/>
              </w:rPr>
              <w:t xml:space="preserve"> </w:t>
            </w:r>
            <w:proofErr w:type="spellStart"/>
            <w:r w:rsidRPr="00EE4071">
              <w:rPr>
                <w:rFonts w:ascii="한컴바탕" w:eastAsia="한컴바탕" w:hAnsi="한컴바탕" w:cs="한컴바탕"/>
                <w:spacing w:val="-18"/>
                <w:szCs w:val="21"/>
                <w:lang w:eastAsia="ko-KR"/>
              </w:rPr>
              <w:t>인촨</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銀川</w:t>
            </w:r>
            <w:proofErr w:type="spellEnd"/>
            <w:r w:rsidRPr="00EE4071">
              <w:rPr>
                <w:rFonts w:ascii="한컴바탕" w:eastAsia="한컴바탕" w:hAnsi="한컴바탕" w:cs="한컴바탕"/>
                <w:spacing w:val="-18"/>
                <w:szCs w:val="21"/>
                <w:lang w:eastAsia="ko-KR"/>
              </w:rPr>
              <w:t>)시(산하 현(</w:t>
            </w:r>
            <w:r w:rsidRPr="00EE4071">
              <w:rPr>
                <w:rFonts w:ascii="한컴바탕" w:eastAsia="한컴바탕" w:hAnsi="한컴바탕" w:cs="한컴바탕" w:hint="eastAsia"/>
                <w:spacing w:val="-18"/>
                <w:szCs w:val="21"/>
                <w:lang w:eastAsia="ko-KR"/>
              </w:rPr>
              <w:t>縣</w:t>
            </w:r>
            <w:r w:rsidRPr="00EE4071">
              <w:rPr>
                <w:rFonts w:ascii="한컴바탕" w:eastAsia="한컴바탕" w:hAnsi="한컴바탕" w:cs="한컴바탕"/>
                <w:spacing w:val="-18"/>
                <w:szCs w:val="21"/>
                <w:lang w:eastAsia="ko-KR"/>
              </w:rPr>
              <w:t xml:space="preserve">) </w:t>
            </w:r>
            <w:r w:rsidRPr="00EE4071">
              <w:rPr>
                <w:rFonts w:ascii="한컴바탕" w:eastAsia="한컴바탕" w:hAnsi="한컴바탕" w:cs="한컴바탕" w:hint="eastAsia"/>
                <w:spacing w:val="-18"/>
                <w:szCs w:val="21"/>
                <w:lang w:eastAsia="ko-KR"/>
              </w:rPr>
              <w:t>제외</w:t>
            </w:r>
            <w:r w:rsidRPr="00EE4071">
              <w:rPr>
                <w:rFonts w:ascii="한컴바탕" w:eastAsia="한컴바탕" w:hAnsi="한컴바탕" w:cs="한컴바탕"/>
                <w:spacing w:val="-18"/>
                <w:szCs w:val="21"/>
                <w:lang w:eastAsia="ko-KR"/>
              </w:rPr>
              <w:t>), 신장(</w:t>
            </w:r>
            <w:proofErr w:type="spellStart"/>
            <w:r w:rsidRPr="00EE4071">
              <w:rPr>
                <w:rFonts w:ascii="한컴바탕" w:eastAsia="한컴바탕" w:hAnsi="한컴바탕" w:cs="한컴바탕" w:hint="eastAsia"/>
                <w:spacing w:val="-18"/>
                <w:szCs w:val="21"/>
                <w:lang w:eastAsia="ko-KR"/>
              </w:rPr>
              <w:t>新疆</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spacing w:val="-18"/>
                <w:szCs w:val="21"/>
                <w:lang w:eastAsia="ko-KR"/>
              </w:rPr>
              <w:t>위그루자치구</w:t>
            </w:r>
            <w:proofErr w:type="spellEnd"/>
            <w:r w:rsidRPr="00EE4071">
              <w:rPr>
                <w:rFonts w:ascii="한컴바탕" w:eastAsia="한컴바탕" w:hAnsi="한컴바탕" w:cs="한컴바탕"/>
                <w:spacing w:val="-18"/>
                <w:szCs w:val="21"/>
                <w:lang w:eastAsia="ko-KR"/>
              </w:rPr>
              <w:t xml:space="preserve"> </w:t>
            </w:r>
            <w:proofErr w:type="spellStart"/>
            <w:r w:rsidRPr="00EE4071">
              <w:rPr>
                <w:rFonts w:ascii="한컴바탕" w:eastAsia="한컴바탕" w:hAnsi="한컴바탕" w:cs="한컴바탕"/>
                <w:spacing w:val="-18"/>
                <w:szCs w:val="21"/>
                <w:lang w:eastAsia="ko-KR"/>
              </w:rPr>
              <w:t>쿠얼러</w:t>
            </w:r>
            <w:proofErr w:type="spellEnd"/>
            <w:r w:rsidRPr="00EE4071">
              <w:rPr>
                <w:rFonts w:ascii="한컴바탕" w:eastAsia="한컴바탕" w:hAnsi="한컴바탕" w:cs="한컴바탕"/>
                <w:spacing w:val="-18"/>
                <w:szCs w:val="21"/>
                <w:lang w:eastAsia="ko-KR"/>
              </w:rPr>
              <w:t>(</w:t>
            </w:r>
            <w:proofErr w:type="spellStart"/>
            <w:r w:rsidRPr="00EE4071">
              <w:rPr>
                <w:rFonts w:ascii="한컴바탕" w:eastAsia="한컴바탕" w:hAnsi="한컴바탕" w:cs="한컴바탕" w:hint="eastAsia"/>
                <w:spacing w:val="-18"/>
                <w:szCs w:val="21"/>
                <w:lang w:eastAsia="ko-KR"/>
              </w:rPr>
              <w:t>庫爾樂</w:t>
            </w:r>
            <w:proofErr w:type="spellEnd"/>
            <w:r w:rsidRPr="00EE4071">
              <w:rPr>
                <w:rFonts w:ascii="한컴바탕" w:eastAsia="한컴바탕" w:hAnsi="한컴바탕" w:cs="한컴바탕"/>
                <w:spacing w:val="-18"/>
                <w:szCs w:val="21"/>
                <w:lang w:eastAsia="ko-KR"/>
              </w:rPr>
              <w:t>)시.</w:t>
            </w:r>
          </w:p>
          <w:p w:rsidR="00EE4071" w:rsidRPr="00EE4071" w:rsidRDefault="00EE4071" w:rsidP="00EE4071">
            <w:pPr>
              <w:wordWrap w:val="0"/>
              <w:topLinePunct/>
              <w:autoSpaceDN w:val="0"/>
              <w:spacing w:line="290" w:lineRule="atLeast"/>
              <w:ind w:firstLineChars="200" w:firstLine="348"/>
              <w:rPr>
                <w:rFonts w:ascii="한컴바탕" w:eastAsia="한컴바탕" w:hAnsi="한컴바탕" w:cs="한컴바탕"/>
                <w:spacing w:val="-18"/>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2.</w:t>
            </w:r>
            <w:r w:rsidRPr="009E4D17">
              <w:rPr>
                <w:rFonts w:ascii="한컴바탕" w:eastAsia="한컴바탕" w:hAnsi="한컴바탕" w:cs="한컴바탕"/>
                <w:szCs w:val="21"/>
                <w:lang w:eastAsia="ko-KR"/>
              </w:rPr>
              <w:tab/>
              <w:t xml:space="preserve">상업건강보험상품 규율 및 관리에 관한 </w:t>
            </w:r>
            <w:proofErr w:type="spellStart"/>
            <w:r w:rsidRPr="009E4D17">
              <w:rPr>
                <w:rFonts w:ascii="한컴바탕" w:eastAsia="한컴바탕" w:hAnsi="한컴바탕" w:cs="한컴바탕"/>
                <w:szCs w:val="21"/>
                <w:lang w:eastAsia="ko-KR"/>
              </w:rPr>
              <w:t>몇가지</w:t>
            </w:r>
            <w:proofErr w:type="spellEnd"/>
            <w:r w:rsidRPr="009E4D17">
              <w:rPr>
                <w:rFonts w:ascii="한컴바탕" w:eastAsia="한컴바탕" w:hAnsi="한컴바탕" w:cs="한컴바탕"/>
                <w:szCs w:val="21"/>
                <w:lang w:eastAsia="ko-KR"/>
              </w:rPr>
              <w:t xml:space="preserve"> 문제</w:t>
            </w:r>
          </w:p>
          <w:p w:rsidR="009E4D17" w:rsidRPr="00EE4071" w:rsidRDefault="009E4D17" w:rsidP="00EE4071">
            <w:pPr>
              <w:wordWrap w:val="0"/>
              <w:topLinePunct/>
              <w:autoSpaceDN w:val="0"/>
              <w:spacing w:line="290" w:lineRule="atLeast"/>
              <w:ind w:firstLineChars="200" w:firstLine="348"/>
              <w:rPr>
                <w:rFonts w:ascii="한컴바탕" w:eastAsia="한컴바탕" w:hAnsi="한컴바탕" w:cs="한컴바탕"/>
                <w:spacing w:val="-18"/>
                <w:szCs w:val="21"/>
                <w:lang w:eastAsia="ko-KR"/>
              </w:rPr>
            </w:pPr>
            <w:r w:rsidRPr="00EE4071">
              <w:rPr>
                <w:rFonts w:ascii="한컴바탕" w:eastAsia="한컴바탕" w:hAnsi="한컴바탕" w:cs="한컴바탕" w:hint="eastAsia"/>
                <w:spacing w:val="-18"/>
                <w:szCs w:val="21"/>
                <w:lang w:eastAsia="ko-KR"/>
              </w:rPr>
              <w:t>재세</w:t>
            </w:r>
            <w:r w:rsidRPr="00EE4071">
              <w:rPr>
                <w:rFonts w:ascii="한컴바탕" w:eastAsia="한컴바탕" w:hAnsi="한컴바탕" w:cs="한컴바탕"/>
                <w:spacing w:val="-18"/>
                <w:szCs w:val="21"/>
                <w:lang w:eastAsia="ko-KR"/>
              </w:rPr>
              <w:t xml:space="preserve">[2015]56호 문건에서 언급한 규정에 부합되는 상업건강보험이라 함은, 보험회사가 </w:t>
            </w:r>
            <w:proofErr w:type="spellStart"/>
            <w:r w:rsidRPr="00EE4071">
              <w:rPr>
                <w:rFonts w:ascii="한컴바탕" w:eastAsia="한컴바탕" w:hAnsi="한컴바탕" w:cs="한컴바탕"/>
                <w:spacing w:val="-18"/>
                <w:szCs w:val="21"/>
                <w:lang w:eastAsia="ko-KR"/>
              </w:rPr>
              <w:t>개인조세특혜형</w:t>
            </w:r>
            <w:proofErr w:type="spellEnd"/>
            <w:r w:rsidRPr="00EE4071">
              <w:rPr>
                <w:rFonts w:ascii="한컴바탕" w:eastAsia="한컴바탕" w:hAnsi="한컴바탕" w:cs="한컴바탕"/>
                <w:spacing w:val="-18"/>
                <w:szCs w:val="21"/>
                <w:lang w:eastAsia="ko-KR"/>
              </w:rPr>
              <w:t xml:space="preserve"> 건강보험상품 기본지침 및 시범약관(첨부)에 따라 개발한 다음 각 호의 조건을 충족시키는 건강보험상품을 지칭한다.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lastRenderedPageBreak/>
              <w:t>(1)</w:t>
            </w:r>
            <w:r w:rsidRPr="009E4D17">
              <w:rPr>
                <w:rFonts w:ascii="한컴바탕" w:eastAsia="한컴바탕" w:hAnsi="한컴바탕" w:cs="한컴바탕"/>
                <w:szCs w:val="21"/>
                <w:lang w:eastAsia="ko-KR"/>
              </w:rPr>
              <w:tab/>
              <w:t xml:space="preserve">건강보험상품은 보장 기능을 구비하고 최저수익보장계좌를 개설하는 </w:t>
            </w:r>
            <w:proofErr w:type="spellStart"/>
            <w:r w:rsidRPr="009E4D17">
              <w:rPr>
                <w:rFonts w:ascii="한컴바탕" w:eastAsia="한컴바탕" w:hAnsi="한컴바탕" w:cs="한컴바탕"/>
                <w:szCs w:val="21"/>
                <w:lang w:eastAsia="ko-KR"/>
              </w:rPr>
              <w:t>유니버셜보험</w:t>
            </w:r>
            <w:proofErr w:type="spellEnd"/>
            <w:r w:rsidRPr="009E4D17">
              <w:rPr>
                <w:rFonts w:ascii="한컴바탕" w:eastAsia="한컴바탕" w:hAnsi="한컴바탕" w:cs="한컴바탕"/>
                <w:szCs w:val="21"/>
                <w:lang w:eastAsia="ko-KR"/>
              </w:rPr>
              <w:t xml:space="preserve"> 방식을 취하여야 하며 의료보험 및 개인계좌 적립 등 </w:t>
            </w:r>
            <w:proofErr w:type="spellStart"/>
            <w:r w:rsidRPr="009E4D17">
              <w:rPr>
                <w:rFonts w:ascii="한컴바탕" w:eastAsia="한컴바탕" w:hAnsi="한컴바탕" w:cs="한컴바탕"/>
                <w:szCs w:val="21"/>
                <w:lang w:eastAsia="ko-KR"/>
              </w:rPr>
              <w:t>두가지</w:t>
            </w:r>
            <w:proofErr w:type="spellEnd"/>
            <w:r w:rsidRPr="009E4D17">
              <w:rPr>
                <w:rFonts w:ascii="한컴바탕" w:eastAsia="한컴바탕" w:hAnsi="한컴바탕" w:cs="한컴바탕"/>
                <w:szCs w:val="21"/>
                <w:lang w:eastAsia="ko-KR"/>
              </w:rPr>
              <w:t xml:space="preserve"> 책임을 포함하여야 한다. 피보험자의 개인계좌는 그와 보험계약을 체결한 보험회사가 관리 및 유지를 책임진다. </w:t>
            </w:r>
          </w:p>
          <w:p w:rsidR="009E4D17" w:rsidRPr="00EE4071" w:rsidRDefault="009E4D17" w:rsidP="00EE4071">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EE4071">
              <w:rPr>
                <w:rFonts w:ascii="한컴바탕" w:eastAsia="한컴바탕" w:hAnsi="한컴바탕" w:cs="한컴바탕"/>
                <w:spacing w:val="-4"/>
                <w:szCs w:val="21"/>
                <w:lang w:eastAsia="ko-KR"/>
              </w:rPr>
              <w:t>(2)</w:t>
            </w:r>
            <w:r w:rsidRPr="00EE4071">
              <w:rPr>
                <w:rFonts w:ascii="한컴바탕" w:eastAsia="한컴바탕" w:hAnsi="한컴바탕" w:cs="한컴바탕"/>
                <w:spacing w:val="-4"/>
                <w:szCs w:val="21"/>
                <w:lang w:eastAsia="ko-KR"/>
              </w:rPr>
              <w:tab/>
              <w:t xml:space="preserve">피보험자가 만16세 이상, 법정 퇴직연령 미만인 납세자 계층이어야 한다. 보험회사는 피보험자의 과거 병력을 사유로 보험을 거부하여서는 </w:t>
            </w:r>
            <w:proofErr w:type="spellStart"/>
            <w:r w:rsidRPr="00EE4071">
              <w:rPr>
                <w:rFonts w:ascii="한컴바탕" w:eastAsia="한컴바탕" w:hAnsi="한컴바탕" w:cs="한컴바탕"/>
                <w:spacing w:val="-4"/>
                <w:szCs w:val="21"/>
                <w:lang w:eastAsia="ko-KR"/>
              </w:rPr>
              <w:t>아니되며</w:t>
            </w:r>
            <w:proofErr w:type="spellEnd"/>
            <w:r w:rsidRPr="00EE4071">
              <w:rPr>
                <w:rFonts w:ascii="한컴바탕" w:eastAsia="한컴바탕" w:hAnsi="한컴바탕" w:cs="한컴바탕"/>
                <w:spacing w:val="-4"/>
                <w:szCs w:val="21"/>
                <w:lang w:eastAsia="ko-KR"/>
              </w:rPr>
              <w:t xml:space="preserve"> 보험 갱신을 보증하여야 한다.</w:t>
            </w:r>
          </w:p>
          <w:p w:rsidR="009E4D17" w:rsidRPr="00C92929" w:rsidRDefault="009E4D17" w:rsidP="00C92929">
            <w:pPr>
              <w:wordWrap w:val="0"/>
              <w:topLinePunct/>
              <w:autoSpaceDN w:val="0"/>
              <w:spacing w:line="290" w:lineRule="atLeast"/>
              <w:ind w:firstLineChars="200" w:firstLine="404"/>
              <w:rPr>
                <w:rFonts w:ascii="한컴바탕" w:eastAsia="한컴바탕" w:hAnsi="한컴바탕" w:cs="한컴바탕"/>
                <w:spacing w:val="-4"/>
                <w:szCs w:val="21"/>
                <w:lang w:eastAsia="ko-KR"/>
              </w:rPr>
            </w:pPr>
            <w:r w:rsidRPr="00C92929">
              <w:rPr>
                <w:rFonts w:ascii="한컴바탕" w:eastAsia="한컴바탕" w:hAnsi="한컴바탕" w:cs="한컴바탕"/>
                <w:spacing w:val="-4"/>
                <w:szCs w:val="21"/>
                <w:lang w:eastAsia="ko-KR"/>
              </w:rPr>
              <w:t>(3)</w:t>
            </w:r>
            <w:r w:rsidRPr="00C92929">
              <w:rPr>
                <w:rFonts w:ascii="한컴바탕" w:eastAsia="한컴바탕" w:hAnsi="한컴바탕" w:cs="한컴바탕"/>
                <w:spacing w:val="-4"/>
                <w:szCs w:val="21"/>
                <w:lang w:eastAsia="ko-KR"/>
              </w:rPr>
              <w:tab/>
              <w:t xml:space="preserve">의료보험 보장책임의 범위는 피보험자 의료보험 소재지 기본의료보험기금 지급범위내의 자기부담비용 및 일부 기본의료보험기금 </w:t>
            </w:r>
            <w:proofErr w:type="spellStart"/>
            <w:r w:rsidRPr="00C92929">
              <w:rPr>
                <w:rFonts w:ascii="한컴바탕" w:eastAsia="한컴바탕" w:hAnsi="한컴바탕" w:cs="한컴바탕"/>
                <w:spacing w:val="-4"/>
                <w:szCs w:val="21"/>
                <w:lang w:eastAsia="ko-KR"/>
              </w:rPr>
              <w:t>지급범위밖의</w:t>
            </w:r>
            <w:proofErr w:type="spellEnd"/>
            <w:r w:rsidRPr="00C92929">
              <w:rPr>
                <w:rFonts w:ascii="한컴바탕" w:eastAsia="한컴바탕" w:hAnsi="한컴바탕" w:cs="한컴바탕"/>
                <w:spacing w:val="-4"/>
                <w:szCs w:val="21"/>
                <w:lang w:eastAsia="ko-KR"/>
              </w:rPr>
              <w:t xml:space="preserve"> 비용을 포함하여야 하며 비용의 정산범위, 비율 및 금액한도는 각 보험회사가 보험상품의 특징에 근거하여 자주적으로 확정한다.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(4)</w:t>
            </w:r>
            <w:r w:rsidRPr="009E4D17">
              <w:rPr>
                <w:rFonts w:ascii="한컴바탕" w:eastAsia="한컴바탕" w:hAnsi="한컴바탕" w:cs="한컴바탕"/>
                <w:szCs w:val="21"/>
                <w:lang w:eastAsia="ko-KR"/>
              </w:rPr>
              <w:tab/>
              <w:t xml:space="preserve">동일 건강보험상품에 가입하는 피보험자의 </w:t>
            </w:r>
            <w:proofErr w:type="spellStart"/>
            <w:r w:rsidRPr="009E4D17">
              <w:rPr>
                <w:rFonts w:ascii="한컴바탕" w:eastAsia="한컴바탕" w:hAnsi="한컴바탕" w:cs="한컴바탕"/>
                <w:szCs w:val="21"/>
                <w:lang w:eastAsia="ko-KR"/>
              </w:rPr>
              <w:t>상황별로</w:t>
            </w:r>
            <w:proofErr w:type="spellEnd"/>
            <w:r w:rsidRPr="009E4D17">
              <w:rPr>
                <w:rFonts w:ascii="한컴바탕" w:eastAsia="한컴바탕" w:hAnsi="한컴바탕" w:cs="한컴바탕"/>
                <w:szCs w:val="21"/>
                <w:lang w:eastAsia="ko-KR"/>
              </w:rPr>
              <w:t xml:space="preserve"> 상이한 보험금액을 설정할 수 있으며 구체적인 보험금액 하한은 보험감독관리위원회가 규정한다.</w:t>
            </w:r>
          </w:p>
          <w:p w:rsidR="009E4D17" w:rsidRPr="00C92929" w:rsidRDefault="009E4D17" w:rsidP="00C92929">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C92929">
              <w:rPr>
                <w:rFonts w:ascii="한컴바탕" w:eastAsia="한컴바탕" w:hAnsi="한컴바탕" w:cs="한컴바탕"/>
                <w:spacing w:val="-6"/>
                <w:szCs w:val="21"/>
                <w:lang w:eastAsia="ko-KR"/>
              </w:rPr>
              <w:t>(5)</w:t>
            </w:r>
            <w:r w:rsidRPr="00C92929">
              <w:rPr>
                <w:rFonts w:ascii="한컴바탕" w:eastAsia="한컴바탕" w:hAnsi="한컴바탕" w:cs="한컴바탕"/>
                <w:spacing w:val="-6"/>
                <w:szCs w:val="21"/>
                <w:lang w:eastAsia="ko-KR"/>
              </w:rPr>
              <w:tab/>
            </w:r>
            <w:proofErr w:type="spellStart"/>
            <w:r w:rsidRPr="00C92929">
              <w:rPr>
                <w:rFonts w:ascii="한컴바탕" w:eastAsia="한컴바탕" w:hAnsi="한컴바탕" w:cs="한컴바탕"/>
                <w:spacing w:val="-6"/>
                <w:szCs w:val="21"/>
                <w:lang w:eastAsia="ko-KR"/>
              </w:rPr>
              <w:t>검강보험상품은</w:t>
            </w:r>
            <w:proofErr w:type="spellEnd"/>
            <w:r w:rsidRPr="00C92929">
              <w:rPr>
                <w:rFonts w:ascii="한컴바탕" w:eastAsia="한컴바탕" w:hAnsi="한컴바탕" w:cs="한컴바탕"/>
                <w:spacing w:val="-6"/>
                <w:szCs w:val="21"/>
                <w:lang w:eastAsia="ko-KR"/>
              </w:rPr>
              <w:t xml:space="preserve"> '원금유지•박리(</w:t>
            </w:r>
            <w:r w:rsidRPr="00C92929">
              <w:rPr>
                <w:rFonts w:ascii="한컴바탕" w:eastAsia="한컴바탕" w:hAnsi="한컴바탕" w:cs="한컴바탕" w:hint="eastAsia"/>
                <w:spacing w:val="-6"/>
                <w:szCs w:val="21"/>
                <w:lang w:eastAsia="ko-KR"/>
              </w:rPr>
              <w:t>薄利</w:t>
            </w:r>
            <w:r w:rsidRPr="00C92929">
              <w:rPr>
                <w:rFonts w:ascii="한컴바탕" w:eastAsia="한컴바탕" w:hAnsi="한컴바탕" w:cs="한컴바탕"/>
                <w:spacing w:val="-6"/>
                <w:szCs w:val="21"/>
                <w:lang w:eastAsia="ko-KR"/>
              </w:rPr>
              <w:t xml:space="preserve">)'의 원칙을 고수하여야 하며 의료보험 부분에 대한 </w:t>
            </w:r>
            <w:proofErr w:type="spellStart"/>
            <w:r w:rsidRPr="00C92929">
              <w:rPr>
                <w:rFonts w:ascii="한컴바탕" w:eastAsia="한컴바탕" w:hAnsi="한컴바탕" w:cs="한컴바탕"/>
                <w:spacing w:val="-6"/>
                <w:szCs w:val="21"/>
                <w:lang w:eastAsia="ko-KR"/>
              </w:rPr>
              <w:t>간이보험급부율이</w:t>
            </w:r>
            <w:proofErr w:type="spellEnd"/>
            <w:r w:rsidRPr="00C92929">
              <w:rPr>
                <w:rFonts w:ascii="한컴바탕" w:eastAsia="한컴바탕" w:hAnsi="한컴바탕" w:cs="한컴바탕"/>
                <w:spacing w:val="-6"/>
                <w:szCs w:val="21"/>
                <w:lang w:eastAsia="ko-KR"/>
              </w:rPr>
              <w:t xml:space="preserve"> 규정비율 미만인 경우 보험회사는 실제 </w:t>
            </w:r>
            <w:proofErr w:type="spellStart"/>
            <w:r w:rsidRPr="00C92929">
              <w:rPr>
                <w:rFonts w:ascii="한컴바탕" w:eastAsia="한컴바탕" w:hAnsi="한컴바탕" w:cs="한컴바탕"/>
                <w:spacing w:val="-6"/>
                <w:szCs w:val="21"/>
                <w:lang w:eastAsia="ko-KR"/>
              </w:rPr>
              <w:t>보험급부율과</w:t>
            </w:r>
            <w:proofErr w:type="spellEnd"/>
            <w:r w:rsidRPr="00C92929">
              <w:rPr>
                <w:rFonts w:ascii="한컴바탕" w:eastAsia="한컴바탕" w:hAnsi="한컴바탕" w:cs="한컴바탕"/>
                <w:spacing w:val="-6"/>
                <w:szCs w:val="21"/>
                <w:lang w:eastAsia="ko-KR"/>
              </w:rPr>
              <w:t xml:space="preserve"> 소정비율의 차액 부분을 피보험자의 개인계좌로 환불하여야 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목표대상의</w:t>
            </w:r>
            <w:r w:rsidRPr="009E4D17">
              <w:rPr>
                <w:rFonts w:ascii="한컴바탕" w:eastAsia="한컴바탕" w:hAnsi="한컴바탕" w:cs="한컴바탕"/>
                <w:szCs w:val="21"/>
                <w:lang w:eastAsia="ko-KR"/>
              </w:rPr>
              <w:t xml:space="preserve"> 기존 보장항목•</w:t>
            </w:r>
            <w:proofErr w:type="spellStart"/>
            <w:r w:rsidRPr="009E4D17">
              <w:rPr>
                <w:rFonts w:ascii="한컴바탕" w:eastAsia="한컴바탕" w:hAnsi="한컴바탕" w:cs="한컴바탕"/>
                <w:szCs w:val="21"/>
                <w:lang w:eastAsia="ko-KR"/>
              </w:rPr>
              <w:t>보장수요별로</w:t>
            </w:r>
            <w:proofErr w:type="spellEnd"/>
            <w:r w:rsidRPr="009E4D17">
              <w:rPr>
                <w:rFonts w:ascii="한컴바탕" w:eastAsia="한컴바탕" w:hAnsi="한컴바탕" w:cs="한컴바탕"/>
                <w:szCs w:val="21"/>
                <w:lang w:eastAsia="ko-KR"/>
              </w:rPr>
              <w:t xml:space="preserve"> 세가지 유형의 규정에 부합되는 건강보험상품이 있으며 각각 다음 </w:t>
            </w:r>
            <w:proofErr w:type="spellStart"/>
            <w:r w:rsidRPr="009E4D17">
              <w:rPr>
                <w:rFonts w:ascii="한컴바탕" w:eastAsia="한컴바탕" w:hAnsi="한컴바탕" w:cs="한컴바탕"/>
                <w:szCs w:val="21"/>
                <w:lang w:eastAsia="ko-KR"/>
              </w:rPr>
              <w:t>세개의</w:t>
            </w:r>
            <w:proofErr w:type="spellEnd"/>
            <w:r w:rsidRPr="009E4D17">
              <w:rPr>
                <w:rFonts w:ascii="한컴바탕" w:eastAsia="한컴바탕" w:hAnsi="한컴바탕" w:cs="한컴바탕"/>
                <w:szCs w:val="21"/>
                <w:lang w:eastAsia="ko-KR"/>
              </w:rPr>
              <w:t xml:space="preserve"> 대상그룹에 적용한다. </w:t>
            </w:r>
            <w:r w:rsidRPr="009E4D17">
              <w:rPr>
                <w:rFonts w:ascii="한컴바탕" w:eastAsia="한컴바탕" w:hAnsi="한컴바탕" w:cs="한컴바탕" w:hint="eastAsia"/>
                <w:szCs w:val="21"/>
                <w:lang w:eastAsia="ko-KR"/>
              </w:rPr>
              <w:t>①</w:t>
            </w:r>
            <w:r w:rsidRPr="009E4D17">
              <w:rPr>
                <w:rFonts w:ascii="한컴바탕" w:eastAsia="한컴바탕" w:hAnsi="한컴바탕" w:cs="한컴바탕"/>
                <w:szCs w:val="21"/>
                <w:lang w:eastAsia="ko-KR"/>
              </w:rPr>
              <w:t xml:space="preserve"> 국비의료 또는 기본의료보험으로 정산하고 남은 의료비 </w:t>
            </w:r>
            <w:proofErr w:type="spellStart"/>
            <w:r w:rsidRPr="009E4D17">
              <w:rPr>
                <w:rFonts w:ascii="한컴바탕" w:eastAsia="한컴바탕" w:hAnsi="한컴바탕" w:cs="한컴바탕"/>
                <w:szCs w:val="21"/>
                <w:lang w:eastAsia="ko-KR"/>
              </w:rPr>
              <w:t>개인부담분을</w:t>
            </w:r>
            <w:proofErr w:type="spell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정산받고자</w:t>
            </w:r>
            <w:proofErr w:type="spellEnd"/>
            <w:r w:rsidRPr="009E4D17">
              <w:rPr>
                <w:rFonts w:ascii="한컴바탕" w:eastAsia="한컴바탕" w:hAnsi="한컴바탕" w:cs="한컴바탕"/>
                <w:szCs w:val="21"/>
                <w:lang w:eastAsia="ko-KR"/>
              </w:rPr>
              <w:t xml:space="preserve"> 하는 그룹; </w:t>
            </w:r>
            <w:r w:rsidRPr="009E4D17">
              <w:rPr>
                <w:rFonts w:ascii="한컴바탕" w:eastAsia="한컴바탕" w:hAnsi="한컴바탕" w:cs="한컴바탕" w:hint="eastAsia"/>
                <w:szCs w:val="21"/>
                <w:lang w:eastAsia="ko-KR"/>
              </w:rPr>
              <w:t>②</w:t>
            </w:r>
            <w:r w:rsidRPr="009E4D17">
              <w:rPr>
                <w:rFonts w:ascii="한컴바탕" w:eastAsia="한컴바탕" w:hAnsi="한컴바탕" w:cs="한컴바탕"/>
                <w:szCs w:val="21"/>
                <w:lang w:eastAsia="ko-KR"/>
              </w:rPr>
              <w:t xml:space="preserve"> 국비의료 또는 기본의료보험으로 정산하고 남은 개인부담분 특정 거액 의료비를 </w:t>
            </w:r>
            <w:proofErr w:type="spellStart"/>
            <w:r w:rsidRPr="009E4D17">
              <w:rPr>
                <w:rFonts w:ascii="한컴바탕" w:eastAsia="한컴바탕" w:hAnsi="한컴바탕" w:cs="한컴바탕"/>
                <w:szCs w:val="21"/>
                <w:lang w:eastAsia="ko-KR"/>
              </w:rPr>
              <w:t>정산받고자</w:t>
            </w:r>
            <w:proofErr w:type="spellEnd"/>
            <w:r w:rsidRPr="009E4D17">
              <w:rPr>
                <w:rFonts w:ascii="한컴바탕" w:eastAsia="한컴바탕" w:hAnsi="한컴바탕" w:cs="한컴바탕"/>
                <w:szCs w:val="21"/>
                <w:lang w:eastAsia="ko-KR"/>
              </w:rPr>
              <w:t xml:space="preserve"> 하는 그룹; </w:t>
            </w:r>
            <w:r w:rsidRPr="009E4D17">
              <w:rPr>
                <w:rFonts w:ascii="한컴바탕" w:eastAsia="한컴바탕" w:hAnsi="한컴바탕" w:cs="한컴바탕" w:hint="eastAsia"/>
                <w:szCs w:val="21"/>
                <w:lang w:eastAsia="ko-KR"/>
              </w:rPr>
              <w:t>③</w:t>
            </w:r>
            <w:r w:rsidRPr="009E4D17">
              <w:rPr>
                <w:rFonts w:ascii="한컴바탕" w:eastAsia="한컴바탕" w:hAnsi="한컴바탕" w:cs="한컴바탕"/>
                <w:szCs w:val="21"/>
                <w:lang w:eastAsia="ko-KR"/>
              </w:rPr>
              <w:t xml:space="preserve"> 국비의료 또는 기본의료보험에 가입하지 아니하였고 개인이 부담하는 의료비를 </w:t>
            </w:r>
            <w:proofErr w:type="spellStart"/>
            <w:r w:rsidRPr="009E4D17">
              <w:rPr>
                <w:rFonts w:ascii="한컴바탕" w:eastAsia="한컴바탕" w:hAnsi="한컴바탕" w:cs="한컴바탕"/>
                <w:szCs w:val="21"/>
                <w:lang w:eastAsia="ko-KR"/>
              </w:rPr>
              <w:t>정산받고자</w:t>
            </w:r>
            <w:proofErr w:type="spellEnd"/>
            <w:r w:rsidRPr="009E4D17">
              <w:rPr>
                <w:rFonts w:ascii="한컴바탕" w:eastAsia="한컴바탕" w:hAnsi="한컴바탕" w:cs="한컴바탕"/>
                <w:szCs w:val="21"/>
                <w:lang w:eastAsia="ko-KR"/>
              </w:rPr>
              <w:t xml:space="preserve"> 하는 그룹.</w:t>
            </w:r>
          </w:p>
          <w:p w:rsidR="009E4D17" w:rsidRDefault="009E4D17" w:rsidP="00C92929">
            <w:pPr>
              <w:wordWrap w:val="0"/>
              <w:topLinePunct/>
              <w:autoSpaceDN w:val="0"/>
              <w:spacing w:line="290" w:lineRule="atLeast"/>
              <w:ind w:firstLineChars="200" w:firstLine="356"/>
              <w:rPr>
                <w:rFonts w:ascii="한컴바탕" w:eastAsia="한컴바탕" w:hAnsi="한컴바탕" w:cs="한컴바탕" w:hint="eastAsia"/>
                <w:spacing w:val="-16"/>
                <w:szCs w:val="21"/>
                <w:lang w:eastAsia="ko-KR"/>
              </w:rPr>
            </w:pPr>
            <w:r w:rsidRPr="00C92929">
              <w:rPr>
                <w:rFonts w:ascii="한컴바탕" w:eastAsia="한컴바탕" w:hAnsi="한컴바탕" w:cs="한컴바탕" w:hint="eastAsia"/>
                <w:spacing w:val="-16"/>
                <w:szCs w:val="21"/>
                <w:lang w:eastAsia="ko-KR"/>
              </w:rPr>
              <w:t>보험회사는</w:t>
            </w:r>
            <w:r w:rsidRPr="00C92929">
              <w:rPr>
                <w:rFonts w:ascii="한컴바탕" w:eastAsia="한컴바탕" w:hAnsi="한컴바탕" w:cs="한컴바탕"/>
                <w:spacing w:val="-16"/>
                <w:szCs w:val="21"/>
                <w:lang w:eastAsia="ko-KR"/>
              </w:rPr>
              <w:t xml:space="preserve"> &lt;보험법&gt;에 규정한 절차에 따라 상기 조건을 충족시키는 </w:t>
            </w:r>
            <w:proofErr w:type="spellStart"/>
            <w:r w:rsidRPr="00C92929">
              <w:rPr>
                <w:rFonts w:ascii="한컴바탕" w:eastAsia="한컴바탕" w:hAnsi="한컴바탕" w:cs="한컴바탕"/>
                <w:spacing w:val="-16"/>
                <w:szCs w:val="21"/>
                <w:lang w:eastAsia="ko-KR"/>
              </w:rPr>
              <w:t>개인조세특혜형</w:t>
            </w:r>
            <w:proofErr w:type="spellEnd"/>
            <w:r w:rsidRPr="00C92929">
              <w:rPr>
                <w:rFonts w:ascii="한컴바탕" w:eastAsia="한컴바탕" w:hAnsi="한컴바탕" w:cs="한컴바탕"/>
                <w:spacing w:val="-16"/>
                <w:szCs w:val="21"/>
                <w:lang w:eastAsia="ko-KR"/>
              </w:rPr>
              <w:t xml:space="preserve"> 건강보험상품을 보험감독관리위원회에 보고하여 비준을 득해야 한다.</w:t>
            </w:r>
          </w:p>
          <w:p w:rsidR="00C92929" w:rsidRPr="00C92929" w:rsidRDefault="00C92929" w:rsidP="00C92929">
            <w:pPr>
              <w:wordWrap w:val="0"/>
              <w:topLinePunct/>
              <w:autoSpaceDN w:val="0"/>
              <w:spacing w:line="290" w:lineRule="atLeast"/>
              <w:ind w:firstLineChars="200" w:firstLine="356"/>
              <w:rPr>
                <w:rFonts w:ascii="한컴바탕" w:eastAsia="한컴바탕" w:hAnsi="한컴바탕" w:cs="한컴바탕"/>
                <w:spacing w:val="-16"/>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3.</w:t>
            </w:r>
            <w:r w:rsidRPr="009E4D17">
              <w:rPr>
                <w:rFonts w:ascii="한컴바탕" w:eastAsia="한컴바탕" w:hAnsi="한컴바탕" w:cs="한컴바탕"/>
                <w:szCs w:val="21"/>
                <w:lang w:eastAsia="ko-KR"/>
              </w:rPr>
              <w:tab/>
              <w:t xml:space="preserve">개인소득세 </w:t>
            </w:r>
            <w:proofErr w:type="spellStart"/>
            <w:r w:rsidRPr="009E4D17">
              <w:rPr>
                <w:rFonts w:ascii="한컴바탕" w:eastAsia="한컴바탕" w:hAnsi="한컴바탕" w:cs="한컴바탕"/>
                <w:szCs w:val="21"/>
                <w:lang w:eastAsia="ko-KR"/>
              </w:rPr>
              <w:t>세전공제</w:t>
            </w:r>
            <w:proofErr w:type="spellEnd"/>
            <w:r w:rsidRPr="009E4D17">
              <w:rPr>
                <w:rFonts w:ascii="한컴바탕" w:eastAsia="한컴바탕" w:hAnsi="한컴바탕" w:cs="한컴바탕"/>
                <w:szCs w:val="21"/>
                <w:lang w:eastAsia="ko-KR"/>
              </w:rPr>
              <w:t xml:space="preserve"> 징수관리에 관한 문제</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시범지역</w:t>
            </w:r>
            <w:r w:rsidRPr="009E4D17">
              <w:rPr>
                <w:rFonts w:ascii="한컴바탕" w:eastAsia="한컴바탕" w:hAnsi="한컴바탕" w:cs="한컴바탕"/>
                <w:szCs w:val="21"/>
                <w:lang w:eastAsia="ko-KR"/>
              </w:rPr>
              <w:t xml:space="preserve"> 내 개인의 규정에 부합되는 건강보험상품 가입으로 발생하는 지출은 2,400위안/년의 한도금액을 기준으로 개인소득세 </w:t>
            </w:r>
            <w:proofErr w:type="spellStart"/>
            <w:r w:rsidRPr="009E4D17">
              <w:rPr>
                <w:rFonts w:ascii="한컴바탕" w:eastAsia="한컴바탕" w:hAnsi="한컴바탕" w:cs="한컴바탕"/>
                <w:szCs w:val="21"/>
                <w:lang w:eastAsia="ko-KR"/>
              </w:rPr>
              <w:t>세전공제하며</w:t>
            </w:r>
            <w:proofErr w:type="spellEnd"/>
            <w:r w:rsidRPr="009E4D17">
              <w:rPr>
                <w:rFonts w:ascii="한컴바탕" w:eastAsia="한컴바탕" w:hAnsi="한컴바탕" w:cs="한컴바탕"/>
                <w:szCs w:val="21"/>
                <w:lang w:eastAsia="ko-KR"/>
              </w:rPr>
              <w:t xml:space="preserve"> 상세한 규정은 다음과 같다.</w:t>
            </w:r>
          </w:p>
          <w:p w:rsidR="009E4D17" w:rsidRPr="00C92929" w:rsidRDefault="009E4D17" w:rsidP="00C92929">
            <w:pPr>
              <w:wordWrap w:val="0"/>
              <w:topLinePunct/>
              <w:autoSpaceDN w:val="0"/>
              <w:spacing w:line="290" w:lineRule="atLeast"/>
              <w:ind w:firstLineChars="200" w:firstLine="364"/>
              <w:rPr>
                <w:rFonts w:ascii="한컴바탕" w:eastAsia="한컴바탕" w:hAnsi="한컴바탕" w:cs="한컴바탕"/>
                <w:spacing w:val="-14"/>
                <w:szCs w:val="21"/>
                <w:lang w:eastAsia="ko-KR"/>
              </w:rPr>
            </w:pPr>
            <w:r w:rsidRPr="00C92929">
              <w:rPr>
                <w:rFonts w:ascii="한컴바탕" w:eastAsia="한컴바탕" w:hAnsi="한컴바탕" w:cs="한컴바탕"/>
                <w:spacing w:val="-14"/>
                <w:szCs w:val="21"/>
                <w:lang w:eastAsia="ko-KR"/>
              </w:rPr>
              <w:t>(1)</w:t>
            </w:r>
            <w:r w:rsidRPr="00C92929">
              <w:rPr>
                <w:rFonts w:ascii="한컴바탕" w:eastAsia="한컴바탕" w:hAnsi="한컴바탕" w:cs="한컴바탕"/>
                <w:spacing w:val="-14"/>
                <w:szCs w:val="21"/>
                <w:lang w:eastAsia="ko-KR"/>
              </w:rPr>
              <w:tab/>
              <w:t>임금•급여소득 또는 연속적 용역보수를 취하</w:t>
            </w:r>
            <w:r w:rsidRPr="00C92929">
              <w:rPr>
                <w:rFonts w:ascii="한컴바탕" w:eastAsia="한컴바탕" w:hAnsi="한컴바탕" w:cs="한컴바탕"/>
                <w:spacing w:val="-14"/>
                <w:szCs w:val="21"/>
                <w:lang w:eastAsia="ko-KR"/>
              </w:rPr>
              <w:lastRenderedPageBreak/>
              <w:t xml:space="preserve">는 개인이 규정에 부합되는 건강보험상품에 자발적으로 가입하는 경우 적시에 보험증서 증빙을 개인소득세 원천징수의무업체에 제공하여야 한다. 원천징수의무업체는 해당 개인이 보험증서 증빙을 제공한 익월부터 200위안/월의 기준한도 내에서 </w:t>
            </w:r>
            <w:proofErr w:type="spellStart"/>
            <w:r w:rsidRPr="00C92929">
              <w:rPr>
                <w:rFonts w:ascii="한컴바탕" w:eastAsia="한컴바탕" w:hAnsi="한컴바탕" w:cs="한컴바탕"/>
                <w:spacing w:val="-14"/>
                <w:szCs w:val="21"/>
                <w:lang w:eastAsia="ko-KR"/>
              </w:rPr>
              <w:t>월단위로</w:t>
            </w:r>
            <w:proofErr w:type="spellEnd"/>
            <w:r w:rsidRPr="00C92929">
              <w:rPr>
                <w:rFonts w:ascii="한컴바탕" w:eastAsia="한컴바탕" w:hAnsi="한컴바탕" w:cs="한컴바탕"/>
                <w:spacing w:val="-14"/>
                <w:szCs w:val="21"/>
                <w:lang w:eastAsia="ko-KR"/>
              </w:rPr>
              <w:t xml:space="preserve"> 공제한다. 연간 보험료가 2,400위안을 초과하는 부분은 </w:t>
            </w:r>
            <w:proofErr w:type="spellStart"/>
            <w:r w:rsidRPr="00C92929">
              <w:rPr>
                <w:rFonts w:ascii="한컴바탕" w:eastAsia="한컴바탕" w:hAnsi="한컴바탕" w:cs="한컴바탕"/>
                <w:spacing w:val="-14"/>
                <w:szCs w:val="21"/>
                <w:lang w:eastAsia="ko-KR"/>
              </w:rPr>
              <w:t>세전에</w:t>
            </w:r>
            <w:proofErr w:type="spellEnd"/>
            <w:r w:rsidRPr="00C92929">
              <w:rPr>
                <w:rFonts w:ascii="한컴바탕" w:eastAsia="한컴바탕" w:hAnsi="한컴바탕" w:cs="한컴바탕"/>
                <w:spacing w:val="-14"/>
                <w:szCs w:val="21"/>
                <w:lang w:eastAsia="ko-KR"/>
              </w:rPr>
              <w:t xml:space="preserve"> 공제하여서는 </w:t>
            </w:r>
            <w:proofErr w:type="spellStart"/>
            <w:r w:rsidRPr="00C92929">
              <w:rPr>
                <w:rFonts w:ascii="한컴바탕" w:eastAsia="한컴바탕" w:hAnsi="한컴바탕" w:cs="한컴바탕"/>
                <w:spacing w:val="-14"/>
                <w:szCs w:val="21"/>
                <w:lang w:eastAsia="ko-KR"/>
              </w:rPr>
              <w:t>아니되며</w:t>
            </w:r>
            <w:proofErr w:type="spellEnd"/>
            <w:r w:rsidRPr="00C92929">
              <w:rPr>
                <w:rFonts w:ascii="한컴바탕" w:eastAsia="한컴바탕" w:hAnsi="한컴바탕" w:cs="한컴바탕"/>
                <w:spacing w:val="-14"/>
                <w:szCs w:val="21"/>
                <w:lang w:eastAsia="ko-KR"/>
              </w:rPr>
              <w:t xml:space="preserve"> 익년 또는 이후 연도에 보험을 갱신하는 경우 상기 규정에 따라 집행한다.</w:t>
            </w:r>
          </w:p>
          <w:p w:rsidR="009E4D17" w:rsidRPr="00C92929" w:rsidRDefault="009E4D17" w:rsidP="00C92929">
            <w:pPr>
              <w:wordWrap w:val="0"/>
              <w:topLinePunct/>
              <w:autoSpaceDN w:val="0"/>
              <w:spacing w:line="290" w:lineRule="atLeast"/>
              <w:ind w:firstLineChars="200" w:firstLine="356"/>
              <w:rPr>
                <w:rFonts w:ascii="한컴바탕" w:eastAsia="한컴바탕" w:hAnsi="한컴바탕" w:cs="한컴바탕"/>
                <w:spacing w:val="-16"/>
                <w:szCs w:val="21"/>
                <w:lang w:eastAsia="ko-KR"/>
              </w:rPr>
            </w:pPr>
            <w:r w:rsidRPr="00C92929">
              <w:rPr>
                <w:rFonts w:ascii="한컴바탕" w:eastAsia="한컴바탕" w:hAnsi="한컴바탕" w:cs="한컴바탕"/>
                <w:spacing w:val="-16"/>
                <w:szCs w:val="21"/>
                <w:lang w:eastAsia="ko-KR"/>
              </w:rPr>
              <w:t>(2)</w:t>
            </w:r>
            <w:r w:rsidRPr="00C92929">
              <w:rPr>
                <w:rFonts w:ascii="한컴바탕" w:eastAsia="한컴바탕" w:hAnsi="한컴바탕" w:cs="한컴바탕"/>
                <w:spacing w:val="-16"/>
                <w:szCs w:val="21"/>
                <w:lang w:eastAsia="ko-KR"/>
              </w:rPr>
              <w:tab/>
              <w:t xml:space="preserve">업체가 통일적으로 직원을 위하여 건강보험상품을 구매하거나 업체와 개인의 공동부담으로 건강보험상품을 구매하는 경우 업체가 부담하는 부분은 실명으로 개인의 임금•급여 명세에 산입하여야 하고 개인이 구매한 것으로 간주하여 건강보험상품을 구매한 익월부터 200위안/월의 기준한도 내에서 </w:t>
            </w:r>
            <w:proofErr w:type="spellStart"/>
            <w:r w:rsidRPr="00C92929">
              <w:rPr>
                <w:rFonts w:ascii="한컴바탕" w:eastAsia="한컴바탕" w:hAnsi="한컴바탕" w:cs="한컴바탕"/>
                <w:spacing w:val="-16"/>
                <w:szCs w:val="21"/>
                <w:lang w:eastAsia="ko-KR"/>
              </w:rPr>
              <w:t>월단위로</w:t>
            </w:r>
            <w:proofErr w:type="spellEnd"/>
            <w:r w:rsidRPr="00C92929">
              <w:rPr>
                <w:rFonts w:ascii="한컴바탕" w:eastAsia="한컴바탕" w:hAnsi="한컴바탕" w:cs="한컴바탕"/>
                <w:spacing w:val="-16"/>
                <w:szCs w:val="21"/>
                <w:lang w:eastAsia="ko-KR"/>
              </w:rPr>
              <w:t xml:space="preserve"> 공제한다. 연간 보험료가 2,400위안을 초과하는 부분은 </w:t>
            </w:r>
            <w:proofErr w:type="spellStart"/>
            <w:r w:rsidRPr="00C92929">
              <w:rPr>
                <w:rFonts w:ascii="한컴바탕" w:eastAsia="한컴바탕" w:hAnsi="한컴바탕" w:cs="한컴바탕"/>
                <w:spacing w:val="-16"/>
                <w:szCs w:val="21"/>
                <w:lang w:eastAsia="ko-KR"/>
              </w:rPr>
              <w:t>세전에</w:t>
            </w:r>
            <w:proofErr w:type="spellEnd"/>
            <w:r w:rsidRPr="00C92929">
              <w:rPr>
                <w:rFonts w:ascii="한컴바탕" w:eastAsia="한컴바탕" w:hAnsi="한컴바탕" w:cs="한컴바탕"/>
                <w:spacing w:val="-16"/>
                <w:szCs w:val="21"/>
                <w:lang w:eastAsia="ko-KR"/>
              </w:rPr>
              <w:t xml:space="preserve"> 공제하여서는 </w:t>
            </w:r>
            <w:proofErr w:type="spellStart"/>
            <w:r w:rsidRPr="00C92929">
              <w:rPr>
                <w:rFonts w:ascii="한컴바탕" w:eastAsia="한컴바탕" w:hAnsi="한컴바탕" w:cs="한컴바탕"/>
                <w:spacing w:val="-16"/>
                <w:szCs w:val="21"/>
                <w:lang w:eastAsia="ko-KR"/>
              </w:rPr>
              <w:t>아니되며</w:t>
            </w:r>
            <w:proofErr w:type="spellEnd"/>
            <w:r w:rsidRPr="00C92929">
              <w:rPr>
                <w:rFonts w:ascii="한컴바탕" w:eastAsia="한컴바탕" w:hAnsi="한컴바탕" w:cs="한컴바탕"/>
                <w:spacing w:val="-16"/>
                <w:szCs w:val="21"/>
                <w:lang w:eastAsia="ko-KR"/>
              </w:rPr>
              <w:t xml:space="preserve"> 익년 또는 이후 연도에 보험을 갱신하는 경우 상기 규정에 따라 집행한다.</w:t>
            </w:r>
          </w:p>
          <w:p w:rsidR="009E4D17" w:rsidRDefault="009E4D17" w:rsidP="009E4D17">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9E4D17">
              <w:rPr>
                <w:rFonts w:ascii="한컴바탕" w:eastAsia="한컴바탕" w:hAnsi="한컴바탕" w:cs="한컴바탕"/>
                <w:szCs w:val="21"/>
                <w:lang w:eastAsia="ko-KR"/>
              </w:rPr>
              <w:t>(3)</w:t>
            </w:r>
            <w:r w:rsidRPr="009E4D17">
              <w:rPr>
                <w:rFonts w:ascii="한컴바탕" w:eastAsia="한컴바탕" w:hAnsi="한컴바탕" w:cs="한컴바탕"/>
                <w:szCs w:val="21"/>
                <w:lang w:eastAsia="ko-KR"/>
              </w:rPr>
              <w:tab/>
              <w:t xml:space="preserve">자영업자, 기업체•사업체 도급•임차 경영자, 개인독자기업 및 합명기업의 투자자가 조건에 부합되는 건강보험상품에 가입하는 경우 2,400위안/년의 기준한도 내에서 실비 공제가 가능하다. 연간 보험료가 2,400위안을 초과하는 부분은 </w:t>
            </w:r>
            <w:proofErr w:type="spellStart"/>
            <w:r w:rsidRPr="009E4D17">
              <w:rPr>
                <w:rFonts w:ascii="한컴바탕" w:eastAsia="한컴바탕" w:hAnsi="한컴바탕" w:cs="한컴바탕"/>
                <w:szCs w:val="21"/>
                <w:lang w:eastAsia="ko-KR"/>
              </w:rPr>
              <w:t>세전에</w:t>
            </w:r>
            <w:proofErr w:type="spellEnd"/>
            <w:r w:rsidRPr="009E4D17">
              <w:rPr>
                <w:rFonts w:ascii="한컴바탕" w:eastAsia="한컴바탕" w:hAnsi="한컴바탕" w:cs="한컴바탕"/>
                <w:szCs w:val="21"/>
                <w:lang w:eastAsia="ko-KR"/>
              </w:rPr>
              <w:t xml:space="preserve"> 공제하여서는 </w:t>
            </w:r>
            <w:proofErr w:type="spellStart"/>
            <w:r w:rsidRPr="009E4D17">
              <w:rPr>
                <w:rFonts w:ascii="한컴바탕" w:eastAsia="한컴바탕" w:hAnsi="한컴바탕" w:cs="한컴바탕"/>
                <w:szCs w:val="21"/>
                <w:lang w:eastAsia="ko-KR"/>
              </w:rPr>
              <w:t>아니되며</w:t>
            </w:r>
            <w:proofErr w:type="spellEnd"/>
            <w:r w:rsidRPr="009E4D17">
              <w:rPr>
                <w:rFonts w:ascii="한컴바탕" w:eastAsia="한컴바탕" w:hAnsi="한컴바탕" w:cs="한컴바탕"/>
                <w:szCs w:val="21"/>
                <w:lang w:eastAsia="ko-KR"/>
              </w:rPr>
              <w:t xml:space="preserve"> 익년 또는 이후 연도에 보험을 갱신하는 경우 상기 규정에 따라 집행한다.     </w:t>
            </w:r>
          </w:p>
          <w:p w:rsidR="00C92929" w:rsidRPr="009E4D17" w:rsidRDefault="00C92929"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4.</w:t>
            </w:r>
            <w:r w:rsidRPr="009E4D17">
              <w:rPr>
                <w:rFonts w:ascii="한컴바탕" w:eastAsia="한컴바탕" w:hAnsi="한컴바탕" w:cs="한컴바탕"/>
                <w:szCs w:val="21"/>
                <w:lang w:eastAsia="ko-KR"/>
              </w:rPr>
              <w:tab/>
              <w:t>개인소득세 정책 징수관리 협력에 관한 문제</w:t>
            </w:r>
          </w:p>
          <w:p w:rsidR="009E4D17" w:rsidRPr="00EC55F6" w:rsidRDefault="009E4D17" w:rsidP="00EC55F6">
            <w:pPr>
              <w:wordWrap w:val="0"/>
              <w:topLinePunct/>
              <w:autoSpaceDN w:val="0"/>
              <w:spacing w:line="290" w:lineRule="atLeast"/>
              <w:ind w:firstLineChars="200" w:firstLine="388"/>
              <w:rPr>
                <w:rFonts w:ascii="한컴바탕" w:eastAsia="한컴바탕" w:hAnsi="한컴바탕" w:cs="한컴바탕"/>
                <w:spacing w:val="-8"/>
                <w:szCs w:val="21"/>
                <w:lang w:eastAsia="ko-KR"/>
              </w:rPr>
            </w:pPr>
            <w:r w:rsidRPr="00EC55F6">
              <w:rPr>
                <w:rFonts w:ascii="한컴바탕" w:eastAsia="한컴바탕" w:hAnsi="한컴바탕" w:cs="한컴바탕" w:hint="eastAsia"/>
                <w:spacing w:val="-8"/>
                <w:szCs w:val="21"/>
                <w:lang w:eastAsia="ko-KR"/>
              </w:rPr>
              <w:t>상업건강보험</w:t>
            </w:r>
            <w:r w:rsidRPr="00EC55F6">
              <w:rPr>
                <w:rFonts w:ascii="한컴바탕" w:eastAsia="한컴바탕" w:hAnsi="한컴바탕" w:cs="한컴바탕"/>
                <w:spacing w:val="-8"/>
                <w:szCs w:val="21"/>
                <w:lang w:eastAsia="ko-KR"/>
              </w:rPr>
              <w:t xml:space="preserve"> 개인소득세 </w:t>
            </w:r>
            <w:proofErr w:type="spellStart"/>
            <w:r w:rsidRPr="00EC55F6">
              <w:rPr>
                <w:rFonts w:ascii="한컴바탕" w:eastAsia="한컴바탕" w:hAnsi="한컴바탕" w:cs="한컴바탕"/>
                <w:spacing w:val="-8"/>
                <w:szCs w:val="21"/>
                <w:lang w:eastAsia="ko-KR"/>
              </w:rPr>
              <w:t>세전공제</w:t>
            </w:r>
            <w:proofErr w:type="spellEnd"/>
            <w:r w:rsidRPr="00EC55F6">
              <w:rPr>
                <w:rFonts w:ascii="한컴바탕" w:eastAsia="한컴바탕" w:hAnsi="한컴바탕" w:cs="한컴바탕"/>
                <w:spacing w:val="-8"/>
                <w:szCs w:val="21"/>
                <w:lang w:eastAsia="ko-KR"/>
              </w:rPr>
              <w:t xml:space="preserve"> 정책은 여러 업무단계 및 부서와 연관되어 있는 바 시범지역의 제반 관련부서는 각자의 직책을 충실하게 이행하고 긴밀하게 협력함으로써 상업건강보험 개인소득세 정책을 확실하게 실행하여야 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(1)</w:t>
            </w:r>
            <w:r w:rsidRPr="009E4D17">
              <w:rPr>
                <w:rFonts w:ascii="한컴바탕" w:eastAsia="한컴바탕" w:hAnsi="한컴바탕" w:cs="한컴바탕"/>
                <w:szCs w:val="21"/>
                <w:lang w:eastAsia="ko-KR"/>
              </w:rPr>
              <w:tab/>
              <w:t xml:space="preserve">재정•세무부서는 건강보험 개인소득세 정책에 대한 홍보와 해석 업무를 </w:t>
            </w:r>
            <w:proofErr w:type="spellStart"/>
            <w:r w:rsidRPr="009E4D17">
              <w:rPr>
                <w:rFonts w:ascii="한컴바탕" w:eastAsia="한컴바탕" w:hAnsi="한컴바탕" w:cs="한컴바탕"/>
                <w:szCs w:val="21"/>
                <w:lang w:eastAsia="ko-KR"/>
              </w:rPr>
              <w:t>차질없이</w:t>
            </w:r>
            <w:proofErr w:type="spellEnd"/>
            <w:r w:rsidRPr="009E4D17">
              <w:rPr>
                <w:rFonts w:ascii="한컴바탕" w:eastAsia="한컴바탕" w:hAnsi="한컴바탕" w:cs="한컴바탕"/>
                <w:szCs w:val="21"/>
                <w:lang w:eastAsia="ko-KR"/>
              </w:rPr>
              <w:t xml:space="preserve"> 추진하고 납세 서비스를 개선하여야 한다.</w:t>
            </w:r>
          </w:p>
          <w:p w:rsidR="009E4D17" w:rsidRPr="00EC55F6" w:rsidRDefault="009E4D17" w:rsidP="00EC55F6">
            <w:pPr>
              <w:wordWrap w:val="0"/>
              <w:topLinePunct/>
              <w:autoSpaceDN w:val="0"/>
              <w:spacing w:line="290" w:lineRule="atLeast"/>
              <w:ind w:firstLineChars="200" w:firstLine="372"/>
              <w:rPr>
                <w:rFonts w:ascii="한컴바탕" w:eastAsia="한컴바탕" w:hAnsi="한컴바탕" w:cs="한컴바탕"/>
                <w:spacing w:val="-12"/>
                <w:szCs w:val="21"/>
                <w:lang w:eastAsia="ko-KR"/>
              </w:rPr>
            </w:pPr>
            <w:r w:rsidRPr="00EC55F6">
              <w:rPr>
                <w:rFonts w:ascii="한컴바탕" w:eastAsia="한컴바탕" w:hAnsi="한컴바탕" w:cs="한컴바탕"/>
                <w:spacing w:val="-12"/>
                <w:szCs w:val="21"/>
                <w:lang w:eastAsia="ko-KR"/>
              </w:rPr>
              <w:t>(2)</w:t>
            </w:r>
            <w:r w:rsidRPr="00EC55F6">
              <w:rPr>
                <w:rFonts w:ascii="한컴바탕" w:eastAsia="한컴바탕" w:hAnsi="한컴바탕" w:cs="한컴바탕"/>
                <w:spacing w:val="-12"/>
                <w:szCs w:val="21"/>
                <w:lang w:eastAsia="ko-KR"/>
              </w:rPr>
              <w:tab/>
              <w:t xml:space="preserve">보험회사는 상업건강보험상품 판매 시 건강보험에 가입하는 개인에게 영수증 및 보험증서 증빙을 발행하여야 하고 상품명칭 및 납부금액 등 정보를 명확히 기재함으로써 개인소득세 </w:t>
            </w:r>
            <w:proofErr w:type="spellStart"/>
            <w:r w:rsidRPr="00EC55F6">
              <w:rPr>
                <w:rFonts w:ascii="한컴바탕" w:eastAsia="한컴바탕" w:hAnsi="한컴바탕" w:cs="한컴바탕"/>
                <w:spacing w:val="-12"/>
                <w:szCs w:val="21"/>
                <w:lang w:eastAsia="ko-KR"/>
              </w:rPr>
              <w:t>세전공제의</w:t>
            </w:r>
            <w:proofErr w:type="spellEnd"/>
            <w:r w:rsidRPr="00EC55F6">
              <w:rPr>
                <w:rFonts w:ascii="한컴바탕" w:eastAsia="한컴바탕" w:hAnsi="한컴바탕" w:cs="한컴바탕"/>
                <w:spacing w:val="-12"/>
                <w:szCs w:val="21"/>
                <w:lang w:eastAsia="ko-KR"/>
              </w:rPr>
              <w:t xml:space="preserve"> 근거로 활용하도록 한다. 보험회사는 상업건강보험 정보 플랫폼과 실시간 연결 상태를 유지하여야 하고 정보의 진실성과 정확성을 보장하여야 한다.</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(3)</w:t>
            </w:r>
            <w:r w:rsidRPr="009E4D17">
              <w:rPr>
                <w:rFonts w:ascii="한컴바탕" w:eastAsia="한컴바탕" w:hAnsi="한컴바탕" w:cs="한컴바탕"/>
                <w:szCs w:val="21"/>
                <w:lang w:eastAsia="ko-KR"/>
              </w:rPr>
              <w:tab/>
              <w:t xml:space="preserve">원천징수의무업체는 개인소득세를 원천공제•납부함에 있어 이 통지와 세무기관의 관련 요구사항에 따라 상업건강보험 </w:t>
            </w:r>
            <w:proofErr w:type="spellStart"/>
            <w:r w:rsidRPr="009E4D17">
              <w:rPr>
                <w:rFonts w:ascii="한컴바탕" w:eastAsia="한컴바탕" w:hAnsi="한컴바탕" w:cs="한컴바탕"/>
                <w:szCs w:val="21"/>
                <w:lang w:eastAsia="ko-KR"/>
              </w:rPr>
              <w:t>세전공제</w:t>
            </w:r>
            <w:proofErr w:type="spellEnd"/>
            <w:r w:rsidRPr="009E4D17">
              <w:rPr>
                <w:rFonts w:ascii="한컴바탕" w:eastAsia="한컴바탕" w:hAnsi="한컴바탕" w:cs="한컴바탕"/>
                <w:szCs w:val="21"/>
                <w:lang w:eastAsia="ko-KR"/>
              </w:rPr>
              <w:t xml:space="preserve"> </w:t>
            </w:r>
            <w:r w:rsidRPr="009E4D17">
              <w:rPr>
                <w:rFonts w:ascii="한컴바탕" w:eastAsia="한컴바탕" w:hAnsi="한컴바탕" w:cs="한컴바탕"/>
                <w:szCs w:val="21"/>
                <w:lang w:eastAsia="ko-KR"/>
              </w:rPr>
              <w:lastRenderedPageBreak/>
              <w:t xml:space="preserve">정책을 </w:t>
            </w:r>
            <w:proofErr w:type="spellStart"/>
            <w:r w:rsidRPr="009E4D17">
              <w:rPr>
                <w:rFonts w:ascii="한컴바탕" w:eastAsia="한컴바탕" w:hAnsi="한컴바탕" w:cs="한컴바탕"/>
                <w:szCs w:val="21"/>
                <w:lang w:eastAsia="ko-KR"/>
              </w:rPr>
              <w:t>차질없이</w:t>
            </w:r>
            <w:proofErr w:type="spellEnd"/>
            <w:r w:rsidRPr="009E4D17">
              <w:rPr>
                <w:rFonts w:ascii="한컴바탕" w:eastAsia="한컴바탕" w:hAnsi="한컴바탕" w:cs="한컴바탕"/>
                <w:szCs w:val="21"/>
                <w:lang w:eastAsia="ko-KR"/>
              </w:rPr>
              <w:t xml:space="preserve"> 실행하여야 한다.</w:t>
            </w:r>
          </w:p>
          <w:p w:rsidR="009E4D17" w:rsidRDefault="009E4D17" w:rsidP="00EC55F6">
            <w:pPr>
              <w:wordWrap w:val="0"/>
              <w:topLinePunct/>
              <w:autoSpaceDN w:val="0"/>
              <w:spacing w:line="290" w:lineRule="atLeast"/>
              <w:ind w:firstLineChars="200" w:firstLine="404"/>
              <w:rPr>
                <w:rFonts w:ascii="한컴바탕" w:eastAsia="한컴바탕" w:hAnsi="한컴바탕" w:cs="한컴바탕" w:hint="eastAsia"/>
                <w:spacing w:val="-4"/>
                <w:szCs w:val="21"/>
                <w:lang w:eastAsia="ko-KR"/>
              </w:rPr>
            </w:pPr>
            <w:r w:rsidRPr="00EC55F6">
              <w:rPr>
                <w:rFonts w:ascii="한컴바탕" w:eastAsia="한컴바탕" w:hAnsi="한컴바탕" w:cs="한컴바탕"/>
                <w:spacing w:val="-4"/>
                <w:szCs w:val="21"/>
                <w:lang w:eastAsia="ko-KR"/>
              </w:rPr>
              <w:t>(4)</w:t>
            </w:r>
            <w:r w:rsidRPr="00EC55F6">
              <w:rPr>
                <w:rFonts w:ascii="한컴바탕" w:eastAsia="한컴바탕" w:hAnsi="한컴바탕" w:cs="한컴바탕"/>
                <w:spacing w:val="-4"/>
                <w:szCs w:val="21"/>
                <w:lang w:eastAsia="ko-KR"/>
              </w:rPr>
              <w:tab/>
              <w:t xml:space="preserve">보험회사 또는 상업건강보험 정보 플랫폼은 개인의 건강보험 구매 관련 정보를 세무기관에 제공하여야 하고 세무기관이 실시하는 납세자 </w:t>
            </w:r>
            <w:proofErr w:type="spellStart"/>
            <w:r w:rsidRPr="00EC55F6">
              <w:rPr>
                <w:rFonts w:ascii="한컴바탕" w:eastAsia="한컴바탕" w:hAnsi="한컴바탕" w:cs="한컴바탕"/>
                <w:spacing w:val="-4"/>
                <w:szCs w:val="21"/>
                <w:lang w:eastAsia="ko-KR"/>
              </w:rPr>
              <w:t>세전공제에</w:t>
            </w:r>
            <w:proofErr w:type="spellEnd"/>
            <w:r w:rsidRPr="00EC55F6">
              <w:rPr>
                <w:rFonts w:ascii="한컴바탕" w:eastAsia="한컴바탕" w:hAnsi="한컴바탕" w:cs="한컴바탕"/>
                <w:spacing w:val="-4"/>
                <w:szCs w:val="21"/>
                <w:lang w:eastAsia="ko-KR"/>
              </w:rPr>
              <w:t xml:space="preserve"> 대한 진실성 대비분석에 협조하여야 하며 일부 납세자의 조세특혜 정책 남용으로 세금이 유실되는 것을 예방하여야 한다.</w:t>
            </w:r>
          </w:p>
          <w:p w:rsidR="00EC55F6" w:rsidRPr="00EC55F6" w:rsidRDefault="00EC55F6" w:rsidP="00EC55F6">
            <w:pPr>
              <w:wordWrap w:val="0"/>
              <w:topLinePunct/>
              <w:autoSpaceDN w:val="0"/>
              <w:spacing w:line="290" w:lineRule="atLeast"/>
              <w:ind w:firstLineChars="200" w:firstLine="404"/>
              <w:rPr>
                <w:rFonts w:ascii="한컴바탕" w:eastAsia="한컴바탕" w:hAnsi="한컴바탕" w:cs="한컴바탕"/>
                <w:spacing w:val="-4"/>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5.</w:t>
            </w:r>
            <w:r w:rsidRPr="009E4D17">
              <w:rPr>
                <w:rFonts w:ascii="한컴바탕" w:eastAsia="한컴바탕" w:hAnsi="한컴바탕" w:cs="한컴바탕"/>
                <w:szCs w:val="21"/>
                <w:lang w:eastAsia="ko-KR"/>
              </w:rPr>
              <w:tab/>
              <w:t xml:space="preserve">이 통지는 2016년 1월 1일부터 집행한다. 조건에 부합되는 건강보험상품에 가입하는 납세자는 이 통지에 규정한 절차에 따라 </w:t>
            </w:r>
            <w:proofErr w:type="spellStart"/>
            <w:r w:rsidRPr="009E4D17">
              <w:rPr>
                <w:rFonts w:ascii="한컴바탕" w:eastAsia="한컴바탕" w:hAnsi="한컴바탕" w:cs="한컴바탕"/>
                <w:szCs w:val="21"/>
                <w:lang w:eastAsia="ko-KR"/>
              </w:rPr>
              <w:t>세전공제</w:t>
            </w:r>
            <w:proofErr w:type="spellEnd"/>
            <w:r w:rsidRPr="009E4D17">
              <w:rPr>
                <w:rFonts w:ascii="한컴바탕" w:eastAsia="한컴바탕" w:hAnsi="한컴바탕" w:cs="한컴바탕"/>
                <w:szCs w:val="21"/>
                <w:lang w:eastAsia="ko-KR"/>
              </w:rPr>
              <w:t xml:space="preserve"> 정책을 </w:t>
            </w:r>
            <w:proofErr w:type="spellStart"/>
            <w:r w:rsidRPr="009E4D17">
              <w:rPr>
                <w:rFonts w:ascii="한컴바탕" w:eastAsia="한컴바탕" w:hAnsi="한컴바탕" w:cs="한컴바탕"/>
                <w:szCs w:val="21"/>
                <w:lang w:eastAsia="ko-KR"/>
              </w:rPr>
              <w:t>적용받는다</w:t>
            </w:r>
            <w:proofErr w:type="spellEnd"/>
            <w:r w:rsidRPr="009E4D17">
              <w:rPr>
                <w:rFonts w:ascii="한컴바탕" w:eastAsia="한컴바탕" w:hAnsi="한컴바탕" w:cs="한컴바탕"/>
                <w:szCs w:val="21"/>
                <w:lang w:eastAsia="ko-KR"/>
              </w:rPr>
              <w:t>.</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roofErr w:type="gramStart"/>
            <w:r w:rsidRPr="009E4D17">
              <w:rPr>
                <w:rFonts w:ascii="한컴바탕" w:eastAsia="한컴바탕" w:hAnsi="한컴바탕" w:cs="한컴바탕" w:hint="eastAsia"/>
                <w:szCs w:val="21"/>
                <w:lang w:eastAsia="ko-KR"/>
              </w:rPr>
              <w:t>첨부</w:t>
            </w:r>
            <w:r w:rsidRPr="009E4D17">
              <w:rPr>
                <w:rFonts w:ascii="한컴바탕" w:eastAsia="한컴바탕" w:hAnsi="한컴바탕" w:cs="한컴바탕"/>
                <w:szCs w:val="21"/>
                <w:lang w:eastAsia="ko-KR"/>
              </w:rPr>
              <w:t xml:space="preserve"> :</w:t>
            </w:r>
            <w:proofErr w:type="gramEnd"/>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1.</w:t>
            </w:r>
            <w:r w:rsidRPr="009E4D17">
              <w:rPr>
                <w:rFonts w:ascii="한컴바탕" w:eastAsia="한컴바탕" w:hAnsi="한컴바탕" w:cs="한컴바탕"/>
                <w:szCs w:val="21"/>
                <w:lang w:eastAsia="ko-KR"/>
              </w:rPr>
              <w:tab/>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건강보험상품 기본지침</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2.</w:t>
            </w:r>
            <w:r w:rsidRPr="009E4D17">
              <w:rPr>
                <w:rFonts w:ascii="한컴바탕" w:eastAsia="한컴바탕" w:hAnsi="한컴바탕" w:cs="한컴바탕"/>
                <w:szCs w:val="21"/>
                <w:lang w:eastAsia="ko-KR"/>
              </w:rPr>
              <w:tab/>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A유형 시범약관</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3.</w:t>
            </w:r>
            <w:r w:rsidRPr="009E4D17">
              <w:rPr>
                <w:rFonts w:ascii="한컴바탕" w:eastAsia="한컴바탕" w:hAnsi="한컴바탕" w:cs="한컴바탕"/>
                <w:szCs w:val="21"/>
                <w:lang w:eastAsia="ko-KR"/>
              </w:rPr>
              <w:tab/>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B유형 시범약관</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4.</w:t>
            </w:r>
            <w:r w:rsidRPr="009E4D17">
              <w:rPr>
                <w:rFonts w:ascii="한컴바탕" w:eastAsia="한컴바탕" w:hAnsi="한컴바탕" w:cs="한컴바탕"/>
                <w:szCs w:val="21"/>
                <w:lang w:eastAsia="ko-KR"/>
              </w:rPr>
              <w:tab/>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C유형 시범약관</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EE4071">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재정부</w:t>
            </w:r>
            <w:proofErr w:type="spellEnd"/>
            <w:r w:rsidRPr="009E4D17">
              <w:rPr>
                <w:rFonts w:ascii="한컴바탕" w:eastAsia="한컴바탕" w:hAnsi="한컴바탕" w:cs="한컴바탕"/>
                <w:szCs w:val="21"/>
                <w:lang w:eastAsia="ko-KR"/>
              </w:rPr>
              <w:t xml:space="preserve">　　</w:t>
            </w:r>
          </w:p>
          <w:p w:rsidR="009E4D17" w:rsidRPr="009E4D17" w:rsidRDefault="009E4D17" w:rsidP="00EE4071">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 xml:space="preserve">국가세무총국　　</w:t>
            </w:r>
          </w:p>
          <w:p w:rsidR="009E4D17" w:rsidRPr="009E4D17" w:rsidRDefault="009E4D17" w:rsidP="00EE4071">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보험감독관리위원회</w:t>
            </w:r>
          </w:p>
          <w:p w:rsidR="009E4D17" w:rsidRPr="009E4D17" w:rsidRDefault="009E4D17" w:rsidP="00EE4071">
            <w:pPr>
              <w:wordWrap w:val="0"/>
              <w:topLinePunct/>
              <w:autoSpaceDN w:val="0"/>
              <w:spacing w:line="290" w:lineRule="atLeast"/>
              <w:ind w:firstLineChars="200" w:firstLine="420"/>
              <w:jc w:val="right"/>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2015년 11월 27일</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Default="009E4D17" w:rsidP="009E4D17">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9E4D17">
              <w:rPr>
                <w:rFonts w:ascii="한컴바탕" w:eastAsia="한컴바탕" w:hAnsi="한컴바탕" w:cs="한컴바탕" w:hint="eastAsia"/>
                <w:szCs w:val="21"/>
                <w:lang w:eastAsia="ko-KR"/>
              </w:rPr>
              <w:t>첨부문서</w:t>
            </w:r>
            <w:r w:rsidRPr="009E4D17">
              <w:rPr>
                <w:rFonts w:ascii="한컴바탕" w:eastAsia="한컴바탕" w:hAnsi="한컴바탕" w:cs="한컴바탕"/>
                <w:szCs w:val="21"/>
                <w:lang w:eastAsia="ko-KR"/>
              </w:rPr>
              <w:t xml:space="preserve"> 다운로드 </w:t>
            </w:r>
            <w:proofErr w:type="gramStart"/>
            <w:r w:rsidRPr="009E4D17">
              <w:rPr>
                <w:rFonts w:ascii="한컴바탕" w:eastAsia="한컴바탕" w:hAnsi="한컴바탕" w:cs="한컴바탕"/>
                <w:szCs w:val="21"/>
                <w:lang w:eastAsia="ko-KR"/>
              </w:rPr>
              <w:t>받기 :</w:t>
            </w:r>
            <w:proofErr w:type="gramEnd"/>
          </w:p>
          <w:p w:rsidR="00EC55F6" w:rsidRPr="009E4D17" w:rsidRDefault="00EC55F6" w:rsidP="009E4D17">
            <w:pPr>
              <w:wordWrap w:val="0"/>
              <w:topLinePunct/>
              <w:autoSpaceDN w:val="0"/>
              <w:spacing w:line="290" w:lineRule="atLeast"/>
              <w:ind w:firstLineChars="200" w:firstLine="420"/>
              <w:rPr>
                <w:rFonts w:ascii="한컴바탕" w:eastAsia="한컴바탕" w:hAnsi="한컴바탕" w:cs="한컴바탕"/>
                <w:szCs w:val="21"/>
                <w:lang w:eastAsia="ko-KR"/>
              </w:rPr>
            </w:pP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hint="eastAsia"/>
                <w:szCs w:val="21"/>
                <w:lang w:eastAsia="ko-KR"/>
              </w:rPr>
              <w:t>첨부</w:t>
            </w:r>
            <w:r w:rsidRPr="009E4D17">
              <w:rPr>
                <w:rFonts w:ascii="한컴바탕" w:eastAsia="한컴바탕" w:hAnsi="한컴바탕" w:cs="한컴바탕"/>
                <w:szCs w:val="21"/>
                <w:lang w:eastAsia="ko-KR"/>
              </w:rPr>
              <w:t xml:space="preserve"> </w:t>
            </w:r>
            <w:proofErr w:type="gramStart"/>
            <w:r w:rsidRPr="009E4D17">
              <w:rPr>
                <w:rFonts w:ascii="한컴바탕" w:eastAsia="한컴바탕" w:hAnsi="한컴바탕" w:cs="한컴바탕"/>
                <w:szCs w:val="21"/>
                <w:lang w:eastAsia="ko-KR"/>
              </w:rPr>
              <w:t>1 :</w:t>
            </w:r>
            <w:proofErr w:type="gram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건강보험상품 기본지침.doc</w:t>
            </w:r>
          </w:p>
          <w:p w:rsidR="009E4D17" w:rsidRPr="009E4D17" w:rsidRDefault="00EE4071" w:rsidP="009E4D17">
            <w:pPr>
              <w:wordWrap w:val="0"/>
              <w:topLinePunct/>
              <w:autoSpaceDN w:val="0"/>
              <w:spacing w:line="290" w:lineRule="atLeast"/>
              <w:ind w:firstLineChars="200" w:firstLine="420"/>
              <w:rPr>
                <w:rFonts w:ascii="한컴바탕" w:eastAsia="한컴바탕" w:hAnsi="한컴바탕" w:cs="한컴바탕"/>
                <w:szCs w:val="21"/>
                <w:lang w:eastAsia="ko-KR"/>
              </w:rPr>
            </w:pPr>
            <w:hyperlink r:id="rId7" w:history="1">
              <w:r w:rsidRPr="00B951DF">
                <w:rPr>
                  <w:rStyle w:val="a4"/>
                  <w:rFonts w:ascii="한컴바탕" w:eastAsia="한컴바탕" w:hAnsi="한컴바탕" w:cs="한컴바탕"/>
                  <w:szCs w:val="21"/>
                  <w:lang w:eastAsia="ko-KR"/>
                </w:rPr>
                <w:t>http://szs.mof.gov.cn/zhengwuxinxi/zhengcefabu/201512/P020151211493654895065.doc</w:t>
              </w:r>
            </w:hyperlink>
            <w:r>
              <w:rPr>
                <w:rFonts w:ascii="한컴바탕" w:eastAsia="한컴바탕" w:hAnsi="한컴바탕" w:cs="한컴바탕" w:hint="eastAsia"/>
                <w:szCs w:val="21"/>
                <w:lang w:eastAsia="ko-KR"/>
              </w:rPr>
              <w:t xml:space="preserve"> </w:t>
            </w:r>
          </w:p>
          <w:p w:rsidR="00EC55F6" w:rsidRDefault="00EC55F6" w:rsidP="00EC55F6">
            <w:pPr>
              <w:wordWrap w:val="0"/>
              <w:topLinePunct/>
              <w:autoSpaceDN w:val="0"/>
              <w:spacing w:line="290" w:lineRule="atLeast"/>
              <w:ind w:firstLineChars="200" w:firstLine="420"/>
              <w:rPr>
                <w:rFonts w:ascii="한컴바탕" w:eastAsia="한컴바탕" w:hAnsi="한컴바탕" w:cs="한컴바탕" w:hint="eastAsia"/>
                <w:szCs w:val="21"/>
                <w:lang w:eastAsia="ko-KR"/>
              </w:rPr>
            </w:pPr>
          </w:p>
          <w:p w:rsidR="00EC55F6" w:rsidRDefault="009E4D17" w:rsidP="00EC55F6">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9E4D17">
              <w:rPr>
                <w:rFonts w:ascii="한컴바탕" w:eastAsia="한컴바탕" w:hAnsi="한컴바탕" w:cs="한컴바탕" w:hint="eastAsia"/>
                <w:szCs w:val="21"/>
                <w:lang w:eastAsia="ko-KR"/>
              </w:rPr>
              <w:t>첨부</w:t>
            </w:r>
            <w:r w:rsidRPr="009E4D17">
              <w:rPr>
                <w:rFonts w:ascii="한컴바탕" w:eastAsia="한컴바탕" w:hAnsi="한컴바탕" w:cs="한컴바탕"/>
                <w:szCs w:val="21"/>
                <w:lang w:eastAsia="ko-KR"/>
              </w:rPr>
              <w:t xml:space="preserve"> </w:t>
            </w:r>
            <w:proofErr w:type="gramStart"/>
            <w:r w:rsidRPr="009E4D17">
              <w:rPr>
                <w:rFonts w:ascii="한컴바탕" w:eastAsia="한컴바탕" w:hAnsi="한컴바탕" w:cs="한컴바탕"/>
                <w:szCs w:val="21"/>
                <w:lang w:eastAsia="ko-KR"/>
              </w:rPr>
              <w:t>2 :</w:t>
            </w:r>
            <w:proofErr w:type="gram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A유형 시범약관.doc</w:t>
            </w:r>
          </w:p>
          <w:p w:rsidR="009E4D17" w:rsidRPr="009E4D17" w:rsidRDefault="009E4D17" w:rsidP="00EC55F6">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 xml:space="preserve">     </w:t>
            </w:r>
            <w:hyperlink r:id="rId8" w:history="1">
              <w:r w:rsidR="00EE4071" w:rsidRPr="00B951DF">
                <w:rPr>
                  <w:rStyle w:val="a4"/>
                  <w:rFonts w:ascii="한컴바탕" w:eastAsia="한컴바탕" w:hAnsi="한컴바탕" w:cs="한컴바탕"/>
                  <w:szCs w:val="21"/>
                  <w:lang w:eastAsia="ko-KR"/>
                </w:rPr>
                <w:t>http://szs.mof.gov.cn/zhengwuxinxi/zhengcefabu/201512/P020151211493655042292.doc</w:t>
              </w:r>
            </w:hyperlink>
            <w:r w:rsidR="00EE4071">
              <w:rPr>
                <w:rFonts w:ascii="한컴바탕" w:eastAsia="한컴바탕" w:hAnsi="한컴바탕" w:cs="한컴바탕" w:hint="eastAsia"/>
                <w:szCs w:val="21"/>
                <w:lang w:eastAsia="ko-KR"/>
              </w:rPr>
              <w:t xml:space="preserve"> </w:t>
            </w:r>
            <w:r w:rsidRPr="009E4D17">
              <w:rPr>
                <w:rFonts w:ascii="한컴바탕" w:eastAsia="한컴바탕" w:hAnsi="한컴바탕" w:cs="한컴바탕"/>
                <w:szCs w:val="21"/>
                <w:lang w:eastAsia="ko-KR"/>
              </w:rPr>
              <w:t xml:space="preserve"> </w:t>
            </w:r>
          </w:p>
          <w:p w:rsidR="00EC55F6" w:rsidRDefault="009E4D17" w:rsidP="009E4D17">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9E4D17">
              <w:rPr>
                <w:rFonts w:ascii="한컴바탕" w:eastAsia="한컴바탕" w:hAnsi="한컴바탕" w:cs="한컴바탕" w:hint="eastAsia"/>
                <w:szCs w:val="21"/>
                <w:lang w:eastAsia="ko-KR"/>
              </w:rPr>
              <w:t>첨부</w:t>
            </w:r>
            <w:r w:rsidRPr="009E4D17">
              <w:rPr>
                <w:rFonts w:ascii="한컴바탕" w:eastAsia="한컴바탕" w:hAnsi="한컴바탕" w:cs="한컴바탕"/>
                <w:szCs w:val="21"/>
                <w:lang w:eastAsia="ko-KR"/>
              </w:rPr>
              <w:t xml:space="preserve"> </w:t>
            </w:r>
            <w:proofErr w:type="gramStart"/>
            <w:r w:rsidR="00EC55F6">
              <w:rPr>
                <w:rFonts w:ascii="한컴바탕" w:eastAsia="한컴바탕" w:hAnsi="한컴바탕" w:cs="한컴바탕" w:hint="eastAsia"/>
                <w:szCs w:val="21"/>
                <w:lang w:eastAsia="ko-KR"/>
              </w:rPr>
              <w:t>3</w:t>
            </w:r>
            <w:r w:rsidRPr="009E4D17">
              <w:rPr>
                <w:rFonts w:ascii="한컴바탕" w:eastAsia="한컴바탕" w:hAnsi="한컴바탕" w:cs="한컴바탕"/>
                <w:szCs w:val="21"/>
                <w:lang w:eastAsia="ko-KR"/>
              </w:rPr>
              <w:t xml:space="preserve"> :</w:t>
            </w:r>
            <w:proofErr w:type="gram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B유형 시범약관.doc</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 xml:space="preserve">     </w:t>
            </w:r>
            <w:hyperlink r:id="rId9" w:history="1">
              <w:r w:rsidR="00EE4071" w:rsidRPr="00B951DF">
                <w:rPr>
                  <w:rStyle w:val="a4"/>
                  <w:rFonts w:ascii="한컴바탕" w:eastAsia="한컴바탕" w:hAnsi="한컴바탕" w:cs="한컴바탕"/>
                  <w:szCs w:val="21"/>
                  <w:lang w:eastAsia="ko-KR"/>
                </w:rPr>
                <w:t>http://szs.mof.gov.cn/zhengwuxinxi/zhengcefab</w:t>
              </w:r>
              <w:r w:rsidR="00EE4071" w:rsidRPr="00B951DF">
                <w:rPr>
                  <w:rStyle w:val="a4"/>
                  <w:rFonts w:ascii="한컴바탕" w:eastAsia="한컴바탕" w:hAnsi="한컴바탕" w:cs="한컴바탕"/>
                  <w:szCs w:val="21"/>
                  <w:lang w:eastAsia="ko-KR"/>
                </w:rPr>
                <w:lastRenderedPageBreak/>
                <w:t>u/201512/P020151211493655208557.doc</w:t>
              </w:r>
            </w:hyperlink>
            <w:r w:rsidR="00EE4071">
              <w:rPr>
                <w:rFonts w:ascii="한컴바탕" w:eastAsia="한컴바탕" w:hAnsi="한컴바탕" w:cs="한컴바탕" w:hint="eastAsia"/>
                <w:szCs w:val="21"/>
                <w:lang w:eastAsia="ko-KR"/>
              </w:rPr>
              <w:t xml:space="preserve"> </w:t>
            </w:r>
          </w:p>
          <w:p w:rsidR="00EC55F6" w:rsidRDefault="009E4D17" w:rsidP="009E4D17">
            <w:pPr>
              <w:wordWrap w:val="0"/>
              <w:topLinePunct/>
              <w:autoSpaceDN w:val="0"/>
              <w:spacing w:line="290" w:lineRule="atLeast"/>
              <w:ind w:firstLineChars="200" w:firstLine="420"/>
              <w:rPr>
                <w:rFonts w:ascii="한컴바탕" w:eastAsia="한컴바탕" w:hAnsi="한컴바탕" w:cs="한컴바탕" w:hint="eastAsia"/>
                <w:szCs w:val="21"/>
                <w:lang w:eastAsia="ko-KR"/>
              </w:rPr>
            </w:pPr>
            <w:r w:rsidRPr="009E4D17">
              <w:rPr>
                <w:rFonts w:ascii="한컴바탕" w:eastAsia="한컴바탕" w:hAnsi="한컴바탕" w:cs="한컴바탕" w:hint="eastAsia"/>
                <w:szCs w:val="21"/>
                <w:lang w:eastAsia="ko-KR"/>
              </w:rPr>
              <w:t>첨부</w:t>
            </w:r>
            <w:r w:rsidRPr="009E4D17">
              <w:rPr>
                <w:rFonts w:ascii="한컴바탕" w:eastAsia="한컴바탕" w:hAnsi="한컴바탕" w:cs="한컴바탕"/>
                <w:szCs w:val="21"/>
                <w:lang w:eastAsia="ko-KR"/>
              </w:rPr>
              <w:t xml:space="preserve"> </w:t>
            </w:r>
            <w:proofErr w:type="gramStart"/>
            <w:r w:rsidR="00EC55F6">
              <w:rPr>
                <w:rFonts w:ascii="한컴바탕" w:eastAsia="한컴바탕" w:hAnsi="한컴바탕" w:cs="한컴바탕" w:hint="eastAsia"/>
                <w:szCs w:val="21"/>
                <w:lang w:eastAsia="ko-KR"/>
              </w:rPr>
              <w:t>4</w:t>
            </w:r>
            <w:r w:rsidRPr="009E4D17">
              <w:rPr>
                <w:rFonts w:ascii="한컴바탕" w:eastAsia="한컴바탕" w:hAnsi="한컴바탕" w:cs="한컴바탕"/>
                <w:szCs w:val="21"/>
                <w:lang w:eastAsia="ko-KR"/>
              </w:rPr>
              <w:t xml:space="preserve"> :</w:t>
            </w:r>
            <w:proofErr w:type="gramEnd"/>
            <w:r w:rsidRPr="009E4D17">
              <w:rPr>
                <w:rFonts w:ascii="한컴바탕" w:eastAsia="한컴바탕" w:hAnsi="한컴바탕" w:cs="한컴바탕"/>
                <w:szCs w:val="21"/>
                <w:lang w:eastAsia="ko-KR"/>
              </w:rPr>
              <w:t xml:space="preserve"> </w:t>
            </w:r>
            <w:proofErr w:type="spellStart"/>
            <w:r w:rsidRPr="009E4D17">
              <w:rPr>
                <w:rFonts w:ascii="한컴바탕" w:eastAsia="한컴바탕" w:hAnsi="한컴바탕" w:cs="한컴바탕"/>
                <w:szCs w:val="21"/>
                <w:lang w:eastAsia="ko-KR"/>
              </w:rPr>
              <w:t>개인조세특혜형</w:t>
            </w:r>
            <w:proofErr w:type="spellEnd"/>
            <w:r w:rsidRPr="009E4D17">
              <w:rPr>
                <w:rFonts w:ascii="한컴바탕" w:eastAsia="한컴바탕" w:hAnsi="한컴바탕" w:cs="한컴바탕"/>
                <w:szCs w:val="21"/>
                <w:lang w:eastAsia="ko-KR"/>
              </w:rPr>
              <w:t xml:space="preserve"> 건강보험(</w:t>
            </w:r>
            <w:proofErr w:type="spellStart"/>
            <w:r w:rsidRPr="009E4D17">
              <w:rPr>
                <w:rFonts w:ascii="한컴바탕" w:eastAsia="한컴바탕" w:hAnsi="한컴바탕" w:cs="한컴바탕"/>
                <w:szCs w:val="21"/>
                <w:lang w:eastAsia="ko-KR"/>
              </w:rPr>
              <w:t>유니버셜</w:t>
            </w:r>
            <w:proofErr w:type="spellEnd"/>
            <w:r w:rsidRPr="009E4D17">
              <w:rPr>
                <w:rFonts w:ascii="한컴바탕" w:eastAsia="한컴바탕" w:hAnsi="한컴바탕" w:cs="한컴바탕"/>
                <w:szCs w:val="21"/>
                <w:lang w:eastAsia="ko-KR"/>
              </w:rPr>
              <w:t>) C유형 시범약관.doc</w:t>
            </w:r>
          </w:p>
          <w:p w:rsidR="009E4D17" w:rsidRPr="009E4D17" w:rsidRDefault="009E4D17" w:rsidP="009E4D17">
            <w:pPr>
              <w:wordWrap w:val="0"/>
              <w:topLinePunct/>
              <w:autoSpaceDN w:val="0"/>
              <w:spacing w:line="290" w:lineRule="atLeast"/>
              <w:ind w:firstLineChars="200" w:firstLine="420"/>
              <w:rPr>
                <w:rFonts w:ascii="한컴바탕" w:eastAsia="한컴바탕" w:hAnsi="한컴바탕" w:cs="한컴바탕"/>
                <w:szCs w:val="21"/>
                <w:lang w:eastAsia="ko-KR"/>
              </w:rPr>
            </w:pPr>
            <w:r w:rsidRPr="009E4D17">
              <w:rPr>
                <w:rFonts w:ascii="한컴바탕" w:eastAsia="한컴바탕" w:hAnsi="한컴바탕" w:cs="한컴바탕"/>
                <w:szCs w:val="21"/>
                <w:lang w:eastAsia="ko-KR"/>
              </w:rPr>
              <w:t xml:space="preserve">     </w:t>
            </w:r>
            <w:hyperlink r:id="rId10" w:history="1">
              <w:r w:rsidR="00EE4071" w:rsidRPr="00B951DF">
                <w:rPr>
                  <w:rStyle w:val="a4"/>
                  <w:rFonts w:ascii="한컴바탕" w:eastAsia="한컴바탕" w:hAnsi="한컴바탕" w:cs="한컴바탕"/>
                  <w:szCs w:val="21"/>
                  <w:lang w:eastAsia="ko-KR"/>
                </w:rPr>
                <w:t>http://szs.mof.gov.cn/zhengwuxinxi/zhengcefabu/201512/P020151211493655361087.doc</w:t>
              </w:r>
            </w:hyperlink>
            <w:r w:rsidR="00EE4071">
              <w:rPr>
                <w:rFonts w:ascii="한컴바탕" w:eastAsia="한컴바탕" w:hAnsi="한컴바탕" w:cs="한컴바탕" w:hint="eastAsia"/>
                <w:szCs w:val="21"/>
                <w:lang w:eastAsia="ko-KR"/>
              </w:rPr>
              <w:t xml:space="preserve"> </w:t>
            </w:r>
          </w:p>
          <w:p w:rsidR="009E4D17" w:rsidRDefault="009E4D17" w:rsidP="00574175">
            <w:pPr>
              <w:wordWrap w:val="0"/>
              <w:topLinePunct/>
              <w:snapToGrid w:val="0"/>
              <w:spacing w:line="360" w:lineRule="auto"/>
              <w:rPr>
                <w:rFonts w:ascii="Gulim" w:hAnsi="Gulim" w:hint="eastAsia"/>
                <w:lang w:eastAsia="ko-KR"/>
              </w:rPr>
            </w:pPr>
          </w:p>
          <w:p w:rsidR="009E4D17" w:rsidRDefault="009E4D17" w:rsidP="00574175">
            <w:pPr>
              <w:wordWrap w:val="0"/>
              <w:topLinePunct/>
              <w:snapToGrid w:val="0"/>
              <w:spacing w:line="360" w:lineRule="auto"/>
              <w:rPr>
                <w:rFonts w:ascii="Gulim" w:hAnsi="Gulim" w:hint="eastAsia"/>
                <w:lang w:eastAsia="ko-KR"/>
              </w:rPr>
            </w:pPr>
          </w:p>
          <w:p w:rsidR="009E4D17" w:rsidRDefault="009E4D17" w:rsidP="00574175">
            <w:pPr>
              <w:wordWrap w:val="0"/>
              <w:topLinePunct/>
              <w:snapToGrid w:val="0"/>
              <w:spacing w:line="360" w:lineRule="auto"/>
              <w:rPr>
                <w:rFonts w:ascii="Gulim" w:hAnsi="Gulim" w:hint="eastAsia"/>
                <w:lang w:eastAsia="ko-KR"/>
              </w:rPr>
            </w:pPr>
          </w:p>
          <w:p w:rsidR="009E4D17" w:rsidRPr="009E4D17" w:rsidRDefault="009E4D17" w:rsidP="00574175">
            <w:pPr>
              <w:wordWrap w:val="0"/>
              <w:topLinePunct/>
              <w:snapToGrid w:val="0"/>
              <w:spacing w:line="360" w:lineRule="auto"/>
              <w:rPr>
                <w:rFonts w:ascii="Gulim" w:hAnsi="Gulim" w:hint="eastAsia"/>
                <w:lang w:eastAsia="ko-KR"/>
              </w:rPr>
            </w:pPr>
          </w:p>
          <w:p w:rsidR="00E92B4B" w:rsidRPr="00574175" w:rsidRDefault="00E92B4B" w:rsidP="009E4D17">
            <w:pPr>
              <w:snapToGrid w:val="0"/>
              <w:spacing w:line="360" w:lineRule="auto"/>
              <w:rPr>
                <w:rFonts w:ascii="한컴바탕" w:eastAsia="한컴바탕" w:hAnsi="한컴바탕" w:cs="한컴바탕"/>
                <w:szCs w:val="21"/>
              </w:rPr>
            </w:pPr>
          </w:p>
        </w:tc>
        <w:tc>
          <w:tcPr>
            <w:tcW w:w="539" w:type="dxa"/>
          </w:tcPr>
          <w:p w:rsidR="00E92B4B" w:rsidRPr="00E92B4B" w:rsidRDefault="00E92B4B" w:rsidP="00E92B4B">
            <w:pPr>
              <w:wordWrap w:val="0"/>
              <w:autoSpaceDE w:val="0"/>
              <w:autoSpaceDN w:val="0"/>
              <w:spacing w:line="290" w:lineRule="atLeast"/>
              <w:rPr>
                <w:szCs w:val="21"/>
              </w:rPr>
            </w:pPr>
          </w:p>
        </w:tc>
        <w:tc>
          <w:tcPr>
            <w:tcW w:w="3958" w:type="dxa"/>
          </w:tcPr>
          <w:p w:rsidR="009E4D17" w:rsidRPr="009E4D17" w:rsidRDefault="00A9506C" w:rsidP="009E4D17">
            <w:pPr>
              <w:snapToGrid w:val="0"/>
              <w:spacing w:line="320" w:lineRule="exact"/>
              <w:jc w:val="center"/>
              <w:rPr>
                <w:rFonts w:ascii="SimSun" w:eastAsia="SimSun" w:hAnsi="SimSun" w:cs="새굴림"/>
                <w:b/>
                <w:spacing w:val="-4"/>
                <w:sz w:val="26"/>
                <w:szCs w:val="26"/>
              </w:rPr>
            </w:pPr>
            <w:r w:rsidRPr="00A9506C">
              <w:rPr>
                <w:rFonts w:ascii="SimSun" w:eastAsia="SimSun" w:hAnsi="SimSun" w:hint="eastAsia"/>
                <w:spacing w:val="10"/>
                <w:szCs w:val="21"/>
                <w:shd w:val="clear" w:color="auto" w:fill="FFFFFF"/>
              </w:rPr>
              <w:t xml:space="preserve"> </w:t>
            </w:r>
            <w:r w:rsidR="009E4D17" w:rsidRPr="009E4D17">
              <w:rPr>
                <w:rFonts w:ascii="SimSun" w:eastAsia="SimSun" w:hAnsi="SimSun" w:cs="새굴림" w:hint="eastAsia"/>
                <w:b/>
                <w:spacing w:val="-4"/>
                <w:sz w:val="26"/>
                <w:szCs w:val="26"/>
              </w:rPr>
              <w:t>关于实施商业健康保险个人所得税政策试点的通知</w:t>
            </w:r>
          </w:p>
          <w:p w:rsidR="009E4D17" w:rsidRPr="009E4D17" w:rsidRDefault="009E4D17" w:rsidP="009E4D17">
            <w:pPr>
              <w:snapToGrid w:val="0"/>
              <w:spacing w:line="320" w:lineRule="exact"/>
              <w:jc w:val="center"/>
              <w:rPr>
                <w:rFonts w:ascii="SimSun" w:eastAsia="SimSun" w:hAnsi="SimSun"/>
                <w:szCs w:val="21"/>
                <w:shd w:val="clear" w:color="auto" w:fill="FFFFFF"/>
              </w:rPr>
            </w:pPr>
            <w:r w:rsidRPr="009E4D17">
              <w:rPr>
                <w:rFonts w:ascii="SimSun" w:eastAsia="SimSun" w:hAnsi="SimSun" w:hint="eastAsia"/>
                <w:szCs w:val="21"/>
                <w:shd w:val="clear" w:color="auto" w:fill="FFFFFF"/>
              </w:rPr>
              <w:t>财税〔2015〕126号</w:t>
            </w:r>
          </w:p>
          <w:p w:rsidR="00EE4071" w:rsidRDefault="00EE4071" w:rsidP="009E4D17">
            <w:pPr>
              <w:wordWrap w:val="0"/>
              <w:autoSpaceDE w:val="0"/>
              <w:autoSpaceDN w:val="0"/>
              <w:spacing w:line="290" w:lineRule="atLeast"/>
              <w:jc w:val="left"/>
              <w:rPr>
                <w:rFonts w:ascii="SimSun" w:hAnsi="SimSun" w:hint="eastAsia"/>
                <w:spacing w:val="10"/>
                <w:szCs w:val="21"/>
                <w:shd w:val="clear" w:color="auto" w:fill="FFFFFF"/>
                <w:lang w:eastAsia="ko-KR"/>
              </w:rPr>
            </w:pPr>
          </w:p>
          <w:p w:rsidR="009E4D17" w:rsidRDefault="009E4D17" w:rsidP="009E4D17">
            <w:pPr>
              <w:wordWrap w:val="0"/>
              <w:autoSpaceDE w:val="0"/>
              <w:autoSpaceDN w:val="0"/>
              <w:spacing w:line="290" w:lineRule="atLeast"/>
              <w:jc w:val="left"/>
              <w:rPr>
                <w:rFonts w:ascii="SimSun" w:hAnsi="SimSun" w:hint="eastAsia"/>
                <w:spacing w:val="10"/>
                <w:szCs w:val="21"/>
                <w:shd w:val="clear" w:color="auto" w:fill="FFFFFF"/>
                <w:lang w:eastAsia="ko-KR"/>
              </w:rPr>
            </w:pPr>
            <w:r w:rsidRPr="009E4D17">
              <w:rPr>
                <w:rFonts w:ascii="SimSun" w:eastAsia="SimSun" w:hAnsi="SimSun" w:hint="eastAsia"/>
                <w:spacing w:val="10"/>
                <w:szCs w:val="21"/>
                <w:shd w:val="clear" w:color="auto" w:fill="FFFFFF"/>
              </w:rPr>
              <w:t>各省、自治区、直辖市、计划单列市财政厅（局）、地方税务局，各保监局，新疆生产建设兵团财务局：</w:t>
            </w:r>
          </w:p>
          <w:p w:rsidR="00EE4071" w:rsidRPr="00EE4071" w:rsidRDefault="00EE4071" w:rsidP="009E4D17">
            <w:pPr>
              <w:wordWrap w:val="0"/>
              <w:autoSpaceDE w:val="0"/>
              <w:autoSpaceDN w:val="0"/>
              <w:spacing w:line="290" w:lineRule="atLeast"/>
              <w:jc w:val="left"/>
              <w:rPr>
                <w:rFonts w:ascii="SimSun" w:hAnsi="SimSun"/>
                <w:spacing w:val="10"/>
                <w:szCs w:val="21"/>
                <w:shd w:val="clear" w:color="auto" w:fill="FFFFFF"/>
                <w:lang w:eastAsia="ko-KR"/>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根据国务院常务会议精神，按照《财政部、国家税务总局、保监会关于开展商业健康保险个人所得税政策试点工作的通知》（财税〔2015〕56号）有关要求，现将实施商业健康保险个人所得税政策试点工作的有关事项通知如下：</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一、关于试点地区问题</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实施商业健康保险个人所得税政策的试点地区为：</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（一）北京市、上海市、天津市、重庆市。</w:t>
            </w:r>
          </w:p>
          <w:p w:rsidR="009E4D17" w:rsidRPr="00EE4071" w:rsidRDefault="009E4D17" w:rsidP="009E4D17">
            <w:pPr>
              <w:wordWrap w:val="0"/>
              <w:autoSpaceDE w:val="0"/>
              <w:autoSpaceDN w:val="0"/>
              <w:spacing w:line="290" w:lineRule="atLeast"/>
              <w:jc w:val="left"/>
              <w:rPr>
                <w:rFonts w:ascii="SimSun" w:eastAsia="SimSun" w:hAnsi="SimSun"/>
                <w:spacing w:val="28"/>
                <w:szCs w:val="21"/>
                <w:shd w:val="clear" w:color="auto" w:fill="FFFFFF"/>
              </w:rPr>
            </w:pPr>
            <w:r w:rsidRPr="009E4D17">
              <w:rPr>
                <w:rFonts w:ascii="SimSun" w:eastAsia="SimSun" w:hAnsi="SimSun" w:hint="eastAsia"/>
                <w:spacing w:val="10"/>
                <w:szCs w:val="21"/>
                <w:shd w:val="clear" w:color="auto" w:fill="FFFFFF"/>
              </w:rPr>
              <w:t xml:space="preserve">　　</w:t>
            </w:r>
            <w:r w:rsidRPr="00EE4071">
              <w:rPr>
                <w:rFonts w:ascii="SimSun" w:eastAsia="SimSun" w:hAnsi="SimSun" w:hint="eastAsia"/>
                <w:spacing w:val="28"/>
                <w:szCs w:val="21"/>
                <w:shd w:val="clear" w:color="auto" w:fill="FFFFFF"/>
              </w:rPr>
              <w:t>（二）河北省石家庄市、山西省太原市、内蒙古自治区呼和浩特市、辽宁省沈阳市、吉林省长春市、黑龙江省哈尔滨市、江苏省苏州市、浙江省宁波市、安徽省芜湖市、福建省福州市、江西省南昌市、山东省青岛市、河南省郑州市（含巩义市）、湖北省武汉市、湖南省株洲市、广东省广州市、广西壮族自治区南宁市、海南省海口市、四川省成都市、贵州省贵阳市、云南省曲靖市、西藏自治区拉萨市、陕西省宝鸡市、甘肃省兰州市、青海省西宁市、宁夏回族自治区银川市（不含所辖县）、新疆维吾尔自治区库尔勒市。</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二、关于商业健康保险产品规范及若干管理问题</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财税〔2015〕56号文件所称符合规定的商业健康保险，是指保险公司参照个人税收优惠型健康保险产品指引框架及示范条款（附件）开发的、符合下列条件的健康保险产品：</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lastRenderedPageBreak/>
              <w:t xml:space="preserve">　　（一）健康保险产品采取具有保障功能并设立有最低保证收益账户的万能险方式，包含医疗保险和个人账户积累两项责任。被保险人个人账户由其所投保的保险公司负责管理维护。</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（二）被保险人为16周岁以上、未满法定退休年龄的纳税人群。保险公司不得因被保险人既往病史拒保，并保证续保。</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三）医疗保险保障责任范围包括被保险人医保所在地基本医疗保险基金支付范围内的自付费用及部分基本医疗保险基金支付范围外的费用，费用的报销范围、比例和额度由各保险公司根据具体产品特点自行确定。</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（四）同一款健康保险产品，可依据被保险人的不同情况，设置不同的保险金额，具体保险金额下限由保监会规定。</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（五）健康保险产品坚持“保本微利”原则，对医疗保险部分的简单赔付率低于规定比例的，保险公司要将实际赔付率与规定比例之间的差额部分返还到被保险人的个人账户。</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根据目标人群已有保障项目和保障需求的不同，符合规定的健康保险产品共有三类，分别适用于：1.对公费医疗或基本医疗保险报销后个人负担的医疗费用有报销意愿的人群；2.对公费医疗或基本医疗保险报销后个人负担的特定大额医疗费用有报销意愿的人群；3.未参加公费医疗或基本医疗保险，对个人负担的医疗费用有报销意愿的人群。</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符合上述条件的个人税收优惠型健康保险产品，保险公司应按《保险法》规定程序上报保监会审批。</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三、关于个人所得税税前扣除征管问题</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对试点地区个人购买符合规定的健康保险产品的支出，按照2400元/年的限额标准在个人所得税前予以扣除，具体规定如下：</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（一）取得工资薪金所得或连续</w:t>
            </w:r>
            <w:r w:rsidRPr="009E4D17">
              <w:rPr>
                <w:rFonts w:ascii="SimSun" w:eastAsia="SimSun" w:hAnsi="SimSun" w:hint="eastAsia"/>
                <w:spacing w:val="10"/>
                <w:szCs w:val="21"/>
                <w:shd w:val="clear" w:color="auto" w:fill="FFFFFF"/>
              </w:rPr>
              <w:lastRenderedPageBreak/>
              <w:t>性劳务报酬所得的个人，自行购买符合规定的健康保险产品的，应当及时向代扣代缴单位提供保单凭证。扣缴单位自个人提交保单凭证的次月起，在不超过200元/月的标准内按月扣除。一年内保费金额超过2400元的部分，不得税前扣除。次年或以后年度续保时，按上述规定执行。</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二）单位统一组织为员工购买或者单位和个人共同负担购买符合规定的健康保险产品，单位负担部分应当实名计入个人工资薪金明细清单，视同个人购买，并自购买产品次月起，在不超过200元/月的标准内按月扣除。一年内保费金额超过2400元的部分，不得税前扣除。次年或以后年度续保时，按上述规定执行。</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三）个体工商户业主、企事业单位承包承租经营者、个人独资和合伙企业投资者自行购买符合条件的健康保险产品的，在不超过2400元/年的标准内据实扣除。一年内保费金额超过2400元的部分，不得税前扣除。次年或以后年度续保时，按上述规定执行。</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四、关于个人所得税政策征管协作问题</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商业健康保险个人所得税税前扣除政策涉及环节和部门多，试点地区各相关部门应各司其职、密切配合，切实落实好商业健康保险个人所得税政策。</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（一）财政、税务部门要做好健康保险个人所得税优惠政策宣传解释，优化纳税服务。</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二）保险公司在销售商业健康保险产品时，要为购买健康保险的个人开具发票和保单凭证，载明产品名称及缴费金额等信息，作为个人税前扣除的凭据。保险公司要与商业健康保险信息平台保持实时对接，保证信息真实准确。</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（三）扣缴单位应按照本通知及税务机关有关要求，在代扣代缴个人所得税时认真落实商业健康保险税前</w:t>
            </w:r>
            <w:r w:rsidRPr="009E4D17">
              <w:rPr>
                <w:rFonts w:ascii="SimSun" w:eastAsia="SimSun" w:hAnsi="SimSun" w:hint="eastAsia"/>
                <w:spacing w:val="10"/>
                <w:szCs w:val="21"/>
                <w:shd w:val="clear" w:color="auto" w:fill="FFFFFF"/>
              </w:rPr>
              <w:lastRenderedPageBreak/>
              <w:t>扣除政策。</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（四）保险公司或商业健康保险信息平台应向税务机关提供个人购买健康保险的相关信息，配合税务机关对纳税人税前扣除的真实性进行比对分析，防止部分纳税人滥用税收优惠政策，造成税款流失。</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五、本通知自2016年1月1日执行。凡购买符合条件健康保险产品的纳税人，应按本通知规定程序享受税前扣除政策。</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附件：</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1.个人税收优惠型健康保险产品指引框架</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2.个人税收优惠型健康保险（万能型）A款示范条款</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3.个人税收优惠型健康保险（万能型）B款示范条款</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4.个人税收优惠型健康保险（万能型）C款示范条款</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EE4071">
            <w:pPr>
              <w:wordWrap w:val="0"/>
              <w:autoSpaceDE w:val="0"/>
              <w:autoSpaceDN w:val="0"/>
              <w:spacing w:line="290" w:lineRule="atLeast"/>
              <w:jc w:val="righ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 xml:space="preserve"> 财政部</w:t>
            </w:r>
          </w:p>
          <w:p w:rsidR="009E4D17" w:rsidRPr="009E4D17" w:rsidRDefault="009E4D17" w:rsidP="00EE4071">
            <w:pPr>
              <w:wordWrap w:val="0"/>
              <w:autoSpaceDE w:val="0"/>
              <w:autoSpaceDN w:val="0"/>
              <w:spacing w:line="290" w:lineRule="atLeast"/>
              <w:jc w:val="righ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国家税务总局</w:t>
            </w:r>
          </w:p>
          <w:p w:rsidR="009E4D17" w:rsidRPr="009E4D17" w:rsidRDefault="009E4D17" w:rsidP="00EE4071">
            <w:pPr>
              <w:wordWrap w:val="0"/>
              <w:autoSpaceDE w:val="0"/>
              <w:autoSpaceDN w:val="0"/>
              <w:spacing w:line="290" w:lineRule="atLeast"/>
              <w:jc w:val="righ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保监会</w:t>
            </w:r>
          </w:p>
          <w:p w:rsidR="009E4D17" w:rsidRPr="009E4D17" w:rsidRDefault="009E4D17" w:rsidP="00EE4071">
            <w:pPr>
              <w:wordWrap w:val="0"/>
              <w:autoSpaceDE w:val="0"/>
              <w:autoSpaceDN w:val="0"/>
              <w:spacing w:line="290" w:lineRule="atLeast"/>
              <w:jc w:val="righ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2015年11月27日</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Default="009E4D17" w:rsidP="009E4D17">
            <w:pPr>
              <w:wordWrap w:val="0"/>
              <w:autoSpaceDE w:val="0"/>
              <w:autoSpaceDN w:val="0"/>
              <w:spacing w:line="290" w:lineRule="atLeast"/>
              <w:jc w:val="left"/>
              <w:rPr>
                <w:rFonts w:ascii="SimSun" w:hAnsi="SimSun" w:hint="eastAsia"/>
                <w:spacing w:val="10"/>
                <w:szCs w:val="21"/>
                <w:shd w:val="clear" w:color="auto" w:fill="FFFFFF"/>
                <w:lang w:eastAsia="ko-KR"/>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附件下载:</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附件1：个人税收优惠型健康保险产品指引框架.doc</w:t>
            </w:r>
          </w:p>
          <w:p w:rsidR="009E4D17" w:rsidRPr="00EE4071" w:rsidRDefault="009E4D17" w:rsidP="009E4D17">
            <w:pPr>
              <w:wordWrap w:val="0"/>
              <w:autoSpaceDE w:val="0"/>
              <w:autoSpaceDN w:val="0"/>
              <w:spacing w:line="290" w:lineRule="atLeast"/>
              <w:jc w:val="left"/>
              <w:rPr>
                <w:rFonts w:ascii="SimSun" w:hAnsi="SimSun" w:hint="eastAsia"/>
                <w:spacing w:val="10"/>
                <w:szCs w:val="21"/>
                <w:shd w:val="clear" w:color="auto" w:fill="FFFFFF"/>
                <w:lang w:eastAsia="ko-KR"/>
              </w:rPr>
            </w:pPr>
            <w:hyperlink r:id="rId11" w:history="1">
              <w:r w:rsidRPr="009E4D17">
                <w:rPr>
                  <w:rFonts w:ascii="SimSun" w:eastAsia="SimSun" w:hAnsi="SimSun"/>
                  <w:spacing w:val="10"/>
                  <w:szCs w:val="21"/>
                  <w:shd w:val="clear" w:color="auto" w:fill="FFFFFF"/>
                </w:rPr>
                <w:t>http://szs.mof.gov.cn/zhengwuxinxi/zhengcefabu/201512/P020151211493654895065.doc</w:t>
              </w:r>
            </w:hyperlink>
            <w:r w:rsidR="004A3C9C">
              <w:rPr>
                <w:rFonts w:ascii="SimSun" w:hAnsi="SimSun" w:hint="eastAsia"/>
                <w:spacing w:val="10"/>
                <w:szCs w:val="21"/>
                <w:shd w:val="clear" w:color="auto" w:fill="FFFFFF"/>
                <w:lang w:eastAsia="ko-KR"/>
              </w:rPr>
              <w:t xml:space="preserve"> </w:t>
            </w:r>
            <w:r w:rsidR="00EE4071">
              <w:rPr>
                <w:rFonts w:ascii="SimSun" w:hAnsi="SimSun" w:hint="eastAsia"/>
                <w:spacing w:val="10"/>
                <w:szCs w:val="21"/>
                <w:shd w:val="clear" w:color="auto" w:fill="FFFFFF"/>
                <w:lang w:eastAsia="ko-KR"/>
              </w:rPr>
              <w:t xml:space="preserve"> </w:t>
            </w:r>
          </w:p>
          <w:p w:rsidR="009E4D17" w:rsidRPr="004A3C9C" w:rsidRDefault="009E4D17" w:rsidP="009E4D17">
            <w:pPr>
              <w:wordWrap w:val="0"/>
              <w:autoSpaceDE w:val="0"/>
              <w:autoSpaceDN w:val="0"/>
              <w:spacing w:line="290" w:lineRule="atLeast"/>
              <w:jc w:val="left"/>
              <w:rPr>
                <w:rFonts w:ascii="SimSun" w:hAnsi="SimSun"/>
                <w:spacing w:val="10"/>
                <w:szCs w:val="21"/>
                <w:shd w:val="clear" w:color="auto" w:fill="FFFFFF"/>
              </w:rPr>
            </w:pPr>
            <w:r w:rsidRPr="009E4D17">
              <w:rPr>
                <w:rFonts w:ascii="SimSun" w:eastAsia="SimSun" w:hAnsi="SimSun" w:hint="eastAsia"/>
                <w:spacing w:val="10"/>
                <w:szCs w:val="21"/>
                <w:shd w:val="clear" w:color="auto" w:fill="FFFFFF"/>
              </w:rPr>
              <w:t>附件2：个人税收优惠型健康保险（万能型）A款示范条款.doc</w:t>
            </w:r>
            <w:r w:rsidR="004A3C9C">
              <w:rPr>
                <w:rFonts w:ascii="SimSun" w:hAnsi="SimSun" w:hint="eastAsia"/>
                <w:spacing w:val="10"/>
                <w:szCs w:val="21"/>
                <w:shd w:val="clear" w:color="auto" w:fill="FFFFFF"/>
              </w:rPr>
              <w:t xml:space="preserve"> </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spacing w:val="10"/>
                <w:szCs w:val="21"/>
                <w:shd w:val="clear" w:color="auto" w:fill="FFFFFF"/>
              </w:rPr>
              <w:t xml:space="preserve"> </w:t>
            </w:r>
            <w:r w:rsidRPr="009E4D17">
              <w:rPr>
                <w:rFonts w:ascii="SimSun" w:eastAsia="SimSun" w:hAnsi="SimSun" w:hint="eastAsia"/>
                <w:spacing w:val="10"/>
                <w:szCs w:val="21"/>
                <w:shd w:val="clear" w:color="auto" w:fill="FFFFFF"/>
              </w:rPr>
              <w:t xml:space="preserve">    </w:t>
            </w:r>
            <w:hyperlink r:id="rId12" w:history="1">
              <w:r w:rsidRPr="009E4D17">
                <w:rPr>
                  <w:rFonts w:ascii="SimSun" w:eastAsia="SimSun" w:hAnsi="SimSun"/>
                  <w:spacing w:val="10"/>
                  <w:szCs w:val="21"/>
                  <w:shd w:val="clear" w:color="auto" w:fill="FFFFFF"/>
                </w:rPr>
                <w:t>http://szs.mof.gov.cn/zhengwuxinxi/zhengcefabu/201512/P020151211493655042292.doc</w:t>
              </w:r>
            </w:hyperlink>
            <w:r w:rsidRPr="009E4D17">
              <w:rPr>
                <w:rFonts w:ascii="SimSun" w:eastAsia="SimSun" w:hAnsi="SimSun" w:hint="eastAsia"/>
                <w:spacing w:val="10"/>
                <w:szCs w:val="21"/>
                <w:shd w:val="clear" w:color="auto" w:fill="FFFFFF"/>
              </w:rPr>
              <w:t xml:space="preserve"> </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附件3：个人税收优惠型健康保险（万能型）B款示范条款.doc</w:t>
            </w:r>
          </w:p>
          <w:p w:rsidR="009E4D17" w:rsidRPr="00EE4071" w:rsidRDefault="009E4D17" w:rsidP="009E4D17">
            <w:pPr>
              <w:wordWrap w:val="0"/>
              <w:autoSpaceDE w:val="0"/>
              <w:autoSpaceDN w:val="0"/>
              <w:spacing w:line="290" w:lineRule="atLeast"/>
              <w:jc w:val="left"/>
              <w:rPr>
                <w:rFonts w:ascii="SimSun" w:hAnsi="SimSun" w:hint="eastAsia"/>
                <w:spacing w:val="10"/>
                <w:szCs w:val="21"/>
                <w:shd w:val="clear" w:color="auto" w:fill="FFFFFF"/>
                <w:lang w:eastAsia="ko-KR"/>
              </w:rPr>
            </w:pPr>
            <w:r w:rsidRPr="009E4D17">
              <w:rPr>
                <w:rFonts w:ascii="SimSun" w:eastAsia="SimSun" w:hAnsi="SimSun"/>
                <w:spacing w:val="10"/>
                <w:szCs w:val="21"/>
                <w:shd w:val="clear" w:color="auto" w:fill="FFFFFF"/>
              </w:rPr>
              <w:t xml:space="preserve"> </w:t>
            </w:r>
            <w:r w:rsidRPr="009E4D17">
              <w:rPr>
                <w:rFonts w:ascii="SimSun" w:eastAsia="SimSun" w:hAnsi="SimSun" w:hint="eastAsia"/>
                <w:spacing w:val="10"/>
                <w:szCs w:val="21"/>
                <w:shd w:val="clear" w:color="auto" w:fill="FFFFFF"/>
              </w:rPr>
              <w:t xml:space="preserve">    </w:t>
            </w:r>
            <w:hyperlink r:id="rId13" w:history="1">
              <w:r w:rsidRPr="009E4D17">
                <w:rPr>
                  <w:rFonts w:ascii="SimSun" w:eastAsia="SimSun" w:hAnsi="SimSun"/>
                  <w:spacing w:val="10"/>
                  <w:szCs w:val="21"/>
                  <w:shd w:val="clear" w:color="auto" w:fill="FFFFFF"/>
                </w:rPr>
                <w:t>http://szs.mof.gov.cn/zhengwuxinxi/zhengcefabu/201512/P0201</w:t>
              </w:r>
              <w:r w:rsidRPr="009E4D17">
                <w:rPr>
                  <w:rFonts w:ascii="SimSun" w:eastAsia="SimSun" w:hAnsi="SimSun"/>
                  <w:spacing w:val="10"/>
                  <w:szCs w:val="21"/>
                  <w:shd w:val="clear" w:color="auto" w:fill="FFFFFF"/>
                </w:rPr>
                <w:lastRenderedPageBreak/>
                <w:t>51211493655208557.doc</w:t>
              </w:r>
            </w:hyperlink>
            <w:r w:rsidR="00EE4071">
              <w:rPr>
                <w:rFonts w:ascii="SimSun" w:hAnsi="SimSun" w:hint="eastAsia"/>
                <w:spacing w:val="10"/>
                <w:szCs w:val="21"/>
                <w:shd w:val="clear" w:color="auto" w:fill="FFFFFF"/>
                <w:lang w:eastAsia="ko-KR"/>
              </w:rPr>
              <w:t xml:space="preserve"> </w:t>
            </w:r>
          </w:p>
          <w:p w:rsidR="009E4D17" w:rsidRPr="009E4D17" w:rsidRDefault="009E4D17" w:rsidP="009E4D17">
            <w:pPr>
              <w:wordWrap w:val="0"/>
              <w:autoSpaceDE w:val="0"/>
              <w:autoSpaceDN w:val="0"/>
              <w:spacing w:line="290" w:lineRule="atLeast"/>
              <w:jc w:val="left"/>
              <w:rPr>
                <w:rFonts w:ascii="SimSun" w:eastAsia="SimSun" w:hAnsi="SimSun"/>
                <w:spacing w:val="10"/>
                <w:szCs w:val="21"/>
                <w:shd w:val="clear" w:color="auto" w:fill="FFFFFF"/>
              </w:rPr>
            </w:pPr>
            <w:r w:rsidRPr="009E4D17">
              <w:rPr>
                <w:rFonts w:ascii="SimSun" w:eastAsia="SimSun" w:hAnsi="SimSun" w:hint="eastAsia"/>
                <w:spacing w:val="10"/>
                <w:szCs w:val="21"/>
                <w:shd w:val="clear" w:color="auto" w:fill="FFFFFF"/>
              </w:rPr>
              <w:t>附件4：个人税收优惠型健康保险（万能型）C款示范条款.doc</w:t>
            </w:r>
          </w:p>
          <w:p w:rsidR="009E4D17" w:rsidRPr="00EE4071" w:rsidRDefault="009E4D17" w:rsidP="009E4D17">
            <w:pPr>
              <w:wordWrap w:val="0"/>
              <w:autoSpaceDE w:val="0"/>
              <w:autoSpaceDN w:val="0"/>
              <w:spacing w:line="290" w:lineRule="atLeast"/>
              <w:jc w:val="left"/>
              <w:rPr>
                <w:rFonts w:ascii="SimSun" w:hAnsi="SimSun" w:hint="eastAsia"/>
                <w:spacing w:val="10"/>
                <w:szCs w:val="21"/>
                <w:shd w:val="clear" w:color="auto" w:fill="FFFFFF"/>
                <w:lang w:eastAsia="ko-KR"/>
              </w:rPr>
            </w:pPr>
            <w:r w:rsidRPr="009E4D17">
              <w:rPr>
                <w:rFonts w:ascii="SimSun" w:eastAsia="SimSun" w:hAnsi="SimSun"/>
                <w:spacing w:val="10"/>
                <w:szCs w:val="21"/>
                <w:shd w:val="clear" w:color="auto" w:fill="FFFFFF"/>
              </w:rPr>
              <w:t xml:space="preserve"> </w:t>
            </w:r>
            <w:r w:rsidRPr="009E4D17">
              <w:rPr>
                <w:rFonts w:ascii="SimSun" w:eastAsia="SimSun" w:hAnsi="SimSun" w:hint="eastAsia"/>
                <w:spacing w:val="10"/>
                <w:szCs w:val="21"/>
                <w:shd w:val="clear" w:color="auto" w:fill="FFFFFF"/>
              </w:rPr>
              <w:t xml:space="preserve">    </w:t>
            </w:r>
            <w:hyperlink r:id="rId14" w:history="1">
              <w:r w:rsidRPr="009E4D17">
                <w:rPr>
                  <w:rFonts w:ascii="SimSun" w:eastAsia="SimSun" w:hAnsi="SimSun"/>
                  <w:spacing w:val="10"/>
                  <w:szCs w:val="21"/>
                  <w:shd w:val="clear" w:color="auto" w:fill="FFFFFF"/>
                </w:rPr>
                <w:t>http://szs.mof.gov.cn/zhengwuxinxi/zhengcefabu/201512/P020151211493655361087.doc</w:t>
              </w:r>
            </w:hyperlink>
            <w:r w:rsidR="00EE4071">
              <w:rPr>
                <w:rFonts w:ascii="SimSun" w:hAnsi="SimSun" w:hint="eastAsia"/>
                <w:spacing w:val="10"/>
                <w:szCs w:val="21"/>
                <w:shd w:val="clear" w:color="auto" w:fill="FFFFFF"/>
                <w:lang w:eastAsia="ko-KR"/>
              </w:rPr>
              <w:t xml:space="preserve">  </w:t>
            </w:r>
          </w:p>
          <w:p w:rsidR="009E4D17" w:rsidRDefault="009E4D17" w:rsidP="009E4D17">
            <w:pPr>
              <w:snapToGrid w:val="0"/>
              <w:spacing w:line="360" w:lineRule="auto"/>
            </w:pPr>
          </w:p>
          <w:p w:rsidR="00E92B4B" w:rsidRPr="009E4D17" w:rsidRDefault="00E92B4B" w:rsidP="009E4D17">
            <w:pPr>
              <w:wordWrap w:val="0"/>
              <w:autoSpaceDE w:val="0"/>
              <w:autoSpaceDN w:val="0"/>
              <w:spacing w:line="290" w:lineRule="atLeast"/>
              <w:jc w:val="lef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1C" w:rsidRDefault="0036371C" w:rsidP="00C248D5">
      <w:r>
        <w:separator/>
      </w:r>
    </w:p>
  </w:endnote>
  <w:endnote w:type="continuationSeparator" w:id="0">
    <w:p w:rsidR="0036371C" w:rsidRDefault="0036371C"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Gulim">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1C" w:rsidRDefault="0036371C" w:rsidP="00C248D5">
      <w:r>
        <w:separator/>
      </w:r>
    </w:p>
  </w:footnote>
  <w:footnote w:type="continuationSeparator" w:id="0">
    <w:p w:rsidR="0036371C" w:rsidRDefault="0036371C"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30B10"/>
    <w:rsid w:val="00100135"/>
    <w:rsid w:val="002F1631"/>
    <w:rsid w:val="0036371C"/>
    <w:rsid w:val="003D21B7"/>
    <w:rsid w:val="004A3C9C"/>
    <w:rsid w:val="00574175"/>
    <w:rsid w:val="0059243C"/>
    <w:rsid w:val="007D622E"/>
    <w:rsid w:val="009B00E0"/>
    <w:rsid w:val="009E4D17"/>
    <w:rsid w:val="00A9506C"/>
    <w:rsid w:val="00C248D5"/>
    <w:rsid w:val="00C3271D"/>
    <w:rsid w:val="00C92929"/>
    <w:rsid w:val="00D02BF1"/>
    <w:rsid w:val="00DE5F5F"/>
    <w:rsid w:val="00E07BF9"/>
    <w:rsid w:val="00E92B4B"/>
    <w:rsid w:val="00EC55F6"/>
    <w:rsid w:val="00EE40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semiHidden/>
    <w:unhideWhenUsed/>
    <w:rsid w:val="00C248D5"/>
    <w:pPr>
      <w:tabs>
        <w:tab w:val="center" w:pos="4513"/>
        <w:tab w:val="right" w:pos="9026"/>
      </w:tabs>
      <w:snapToGrid w:val="0"/>
    </w:pPr>
  </w:style>
  <w:style w:type="character" w:customStyle="1" w:styleId="Char0">
    <w:name w:val="바닥글 Char"/>
    <w:basedOn w:val="a0"/>
    <w:link w:val="a7"/>
    <w:uiPriority w:val="99"/>
    <w:semiHidden/>
    <w:rsid w:val="00C248D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512/P020151211493655042292.doc" TargetMode="External"/><Relationship Id="rId13" Type="http://schemas.openxmlformats.org/officeDocument/2006/relationships/hyperlink" Target="http://szs.mof.gov.cn/zhengwuxinxi/zhengcefabu/201512/P020151211493655208557.doc" TargetMode="External"/><Relationship Id="rId3" Type="http://schemas.openxmlformats.org/officeDocument/2006/relationships/settings" Target="settings.xml"/><Relationship Id="rId7" Type="http://schemas.openxmlformats.org/officeDocument/2006/relationships/hyperlink" Target="http://szs.mof.gov.cn/zhengwuxinxi/zhengcefabu/201512/P020151211493654895065.doc" TargetMode="External"/><Relationship Id="rId12" Type="http://schemas.openxmlformats.org/officeDocument/2006/relationships/hyperlink" Target="http://szs.mof.gov.cn/zhengwuxinxi/zhengcefabu/201512/P02015121149365504229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s.mof.gov.cn/zhengwuxinxi/zhengcefabu/201512/P02015121149365489506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s.mof.gov.cn/zhengwuxinxi/zhengcefabu/201512/P020151211493655361087.doc" TargetMode="External"/><Relationship Id="rId4" Type="http://schemas.openxmlformats.org/officeDocument/2006/relationships/webSettings" Target="webSettings.xml"/><Relationship Id="rId9" Type="http://schemas.openxmlformats.org/officeDocument/2006/relationships/hyperlink" Target="http://szs.mof.gov.cn/zhengwuxinxi/zhengcefabu/201512/P020151211493655208557.doc" TargetMode="External"/><Relationship Id="rId14" Type="http://schemas.openxmlformats.org/officeDocument/2006/relationships/hyperlink" Target="http://szs.mof.gov.cn/zhengwuxinxi/zhengcefabu/201512/P020151211493655361087.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1142</Words>
  <Characters>6516</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2015-12-25T07:29:00Z</dcterms:created>
  <dcterms:modified xsi:type="dcterms:W3CDTF">2015-12-25T07:42:00Z</dcterms:modified>
</cp:coreProperties>
</file>