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F46AB0">
              <w:rPr>
                <w:rFonts w:ascii="한컴바탕" w:eastAsia="한컴바탕" w:hAnsi="한컴바탕" w:cs="한컴바탕" w:hint="eastAsia"/>
                <w:b/>
                <w:bCs/>
                <w:spacing w:val="-6"/>
                <w:w w:val="90"/>
                <w:sz w:val="26"/>
                <w:szCs w:val="26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b/>
                <w:bCs/>
                <w:spacing w:val="-6"/>
                <w:w w:val="90"/>
                <w:sz w:val="26"/>
                <w:szCs w:val="26"/>
                <w:lang w:eastAsia="ko-KR"/>
              </w:rPr>
              <w:t>이커머스기업의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b/>
                <w:bCs/>
                <w:spacing w:val="-6"/>
                <w:w w:val="90"/>
                <w:sz w:val="26"/>
                <w:szCs w:val="26"/>
                <w:lang w:eastAsia="ko-KR"/>
              </w:rPr>
              <w:t xml:space="preserve"> 기업수출</w:t>
            </w:r>
            <w:r w:rsidRPr="00F46AB0">
              <w:rPr>
                <w:rFonts w:ascii="한컴바탕" w:eastAsia="한컴바탕" w:hAnsi="한컴바탕" w:cs="한컴바탕" w:hint="eastAsia"/>
                <w:b/>
                <w:bCs/>
                <w:spacing w:val="-6"/>
                <w:w w:val="90"/>
                <w:sz w:val="26"/>
                <w:szCs w:val="26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b/>
                <w:bCs/>
                <w:spacing w:val="-6"/>
                <w:w w:val="90"/>
                <w:sz w:val="26"/>
                <w:szCs w:val="26"/>
                <w:lang w:eastAsia="ko-KR"/>
              </w:rPr>
              <w:t>모니터링</w:t>
            </w:r>
            <w:r w:rsidRPr="00F46AB0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 시범시행을</w:t>
            </w:r>
            <w:r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전개하는 것에 관한 공고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해관총서공고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제7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1"/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당 중앙 국무원의 국경 간 전자상거래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이하 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’)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새로운 경영방식 발전의 배치 요구를 관철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>,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이를 시행하고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이커머스의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안정적인 대외무역과 취업보장 등 적극적인 작용을 충분히 발휘하며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이커머스의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건강하고 빠른 발전을 진일보 촉진하기 위해서,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이커머스기업의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기업수출(이하 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수출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>’)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시범시행 유관 모니터링 사안에 관하여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다음과 같이 공고한다.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적용범위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경내기업은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플랫폼을 통해 경외기업과 거래를 달성한 후,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국경 간 물류를 통해 화물을 직접 경외기업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이하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직접 수출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’)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에 수출하여 보내거나 또는 경내기업이 수출화물을 국경 간 물류를 통해 해외창고로 보내고,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플랫폼을 통해 거래 실현 후 해외 창고에서 구매자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이하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수출 해외 창고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’)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에게 전달한다.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해관 요구에 근거하여 관련 전자 데이터를 전송할 경우, 본 공고에 따라 해관 모니터링을 받게 된다.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 모니터링 방식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코드 추가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2)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해관 모니터링 방식 코드에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‘9710’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을 추가하고,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‘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국경 간 전자상거래 기업의 기업에 대한 직접 수출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정식 명칭이며,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‘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직접 수출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이 약칭으로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B2B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로 직접 수출하는 화물에 적용한다.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3) 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해관 모니터링방식 코드에 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‘9810’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을 추가하고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, ‘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국경 간 전자상거래 해외창고 수출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이 정식 명칭이며,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‘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해외창고 수출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이 약칭으로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이커머스를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통해 해외창고로 수출하는 화물에 적용한다.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기업관리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4)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이커머스기업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플랫폼 기업,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물류기업 등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수출업무에 참여하는 경내기업은 해관신고단위 등록등기 관리 유관규정에 근거하여 소재지 해관에 등록등기를 처리하여야 한다.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해외창고로 수출하는 업무를 전개하는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이커머스기업은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해관에서 해외창고로 수출하는 업무 방식도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비안</w:t>
            </w:r>
            <w:proofErr w:type="spellEnd"/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(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備案</w:t>
            </w:r>
            <w:proofErr w:type="spellEnd"/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,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등록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)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하여야 한다.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통관관리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5)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이커머스기업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또는 위탁 받은 통관대행기업, 경내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플랫폼 기업과 물류기업은 국제무역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단일 창구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’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또는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온라인+해관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을 통해 해관에 데이터를 신고하고,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전자정보를 전송하여야 하며,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데이터의 진실성에 대한 상응하는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법적책임을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져야한다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6)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 화물은 검역∙검사 관련 규정에 부합하여야 한다.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7)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해관이 검사를 실시할 때,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이커머스기업이나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 그 대리인,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모니터링 작업장소 경영자는 유관 규정에 따라 해관검사에 협조하여야 한다.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해관은 규정에 따라 검사를 실시하고,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국경 간 </w:t>
            </w:r>
            <w:r w:rsidRPr="00F46AB0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수출 화물에 대해서 먼저 검사를 진행하도록 안배할 수 있다.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8) </w:t>
            </w:r>
            <w:r w:rsidRPr="00F46AB0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국경 간 전자상거래 </w:t>
            </w:r>
            <w:r w:rsidRPr="00F46AB0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수출화물은 전국 통관 일원화를 적용하고,</w:t>
            </w:r>
            <w:r w:rsidRPr="00F46AB0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또한 </w:t>
            </w:r>
            <w:r w:rsidRPr="00F46AB0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국경 간 전자상거래</w:t>
            </w:r>
            <w:r w:rsidRPr="00F46AB0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’ </w:t>
            </w:r>
            <w:r w:rsidRPr="00F46AB0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모델을 채용해 현지해관에 먼저 신청하고 선착장으로 물건을 보낸 다음 선착장에서 통관 수속을 마친 후 세관에 재신고하는 방식으로도 진행할 수 있다.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5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기타사항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9)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본공고와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관련된 용어의 함의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B2B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수출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이라 함은 경내기업이 국경 간 물류를 통해 화물을 경외기업이나 해외창고로 운송하고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,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플랫폼을 통해 거래를 완료하는 무역형태를 뜻한다.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플랫폼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’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이란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거래 쌍방을 위해 온라인 공간,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가상 경영장소,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거래규칙,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정보발표 등의 서비스를 제공하고,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거래 쌍방간 독립적인 거래활동을 전개하는 온라인 정보 시스템을 구축하는 것을 뜻하며,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자체적으로 운영하는 플랫폼과 제3자 플랫폼,</w:t>
            </w:r>
            <w:r w:rsidRPr="00F46AB0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경내∙외 플랫폼을 포함한다.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10)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북경해관,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천진해관, 남경해관,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항주해관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영파해관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하문해관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정주해관,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광주해관,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심천해관,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황포해관은 국경 간 </w:t>
            </w:r>
            <w:proofErr w:type="spellStart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이커머스</w:t>
            </w:r>
            <w:proofErr w:type="spellEnd"/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B2B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 모니터링 시범시행을 전개한다.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시범시행 상황에 근거하여 적시에 전국해관에 동일하게 확대한다.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5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11) 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본 공고는 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2020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년 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7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월 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1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일부터 시행하고,</w:t>
            </w:r>
            <w:r w:rsidRPr="00F46AB0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F46AB0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해결되지 않은 사안은 해관 유관 규정에 따라 처리한다.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이를 특별히 공고합니다.</w:t>
            </w:r>
          </w:p>
          <w:p w:rsid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DB5008" w:rsidRPr="009570BC" w:rsidRDefault="00F46AB0" w:rsidP="00F46AB0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020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6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F46AB0">
              <w:rPr>
                <w:rFonts w:ascii="한컴바탕" w:eastAsia="한컴바탕" w:hAnsi="한컴바탕" w:cs="한컴바탕"/>
                <w:szCs w:val="21"/>
                <w:lang w:eastAsia="ko-KR"/>
              </w:rPr>
              <w:t>12</w:t>
            </w:r>
            <w:r w:rsidRPr="00F46AB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F46AB0" w:rsidRPr="00F46AB0" w:rsidRDefault="00F46AB0" w:rsidP="00F46AB0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F46AB0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关于开展跨境电子商务企业对企业出口监管试点的公告</w:t>
            </w:r>
          </w:p>
          <w:p w:rsidR="00F46AB0" w:rsidRPr="00F46AB0" w:rsidRDefault="00F46AB0" w:rsidP="00F46AB0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海关总署公告</w:t>
            </w:r>
            <w:r w:rsidRPr="00F46AB0">
              <w:rPr>
                <w:rFonts w:ascii="SimSun" w:eastAsia="SimSun" w:hAnsi="SimSun"/>
                <w:szCs w:val="21"/>
              </w:rPr>
              <w:t>2020年第75号</w:t>
            </w:r>
          </w:p>
          <w:p w:rsidR="00F46AB0" w:rsidRPr="00F46AB0" w:rsidRDefault="00F46AB0" w:rsidP="00F46AB0">
            <w:pPr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F46AB0" w:rsidRPr="00F46AB0" w:rsidRDefault="00F46AB0" w:rsidP="00F46AB0">
            <w:pPr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为贯彻落实党中央国务院关于加快跨境电子商务（以下简称“跨境电商”）新业态发展的部署要求，充分发挥跨境电商稳外贸保就业等积极作用，进一步促进跨境电商健康快速发展，现就跨境电商企业对企业出口（以下简称“跨境电商</w:t>
            </w:r>
            <w:r w:rsidRPr="00F46AB0">
              <w:rPr>
                <w:rFonts w:ascii="SimSun" w:eastAsia="SimSun" w:hAnsi="SimSun"/>
                <w:szCs w:val="21"/>
              </w:rPr>
              <w:t>B2B出口”）试点有关监管事宜公告如下：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 xml:space="preserve">　　一、适用范围</w:t>
            </w:r>
          </w:p>
          <w:p w:rsidR="00F46AB0" w:rsidRPr="00F46AB0" w:rsidRDefault="00F46AB0" w:rsidP="00F46AB0">
            <w:pPr>
              <w:snapToGrid w:val="0"/>
              <w:spacing w:line="300" w:lineRule="auto"/>
              <w:rPr>
                <w:rFonts w:ascii="SimSun" w:hAnsi="SimSun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 xml:space="preserve">　　（一）境内企业通过跨境电商平台与境外企业达成交易后，通过跨境物流将货物直接出口送达境外企业（以下简称“跨境电商</w:t>
            </w:r>
            <w:r w:rsidRPr="00F46AB0">
              <w:rPr>
                <w:rFonts w:ascii="SimSun" w:eastAsia="SimSun" w:hAnsi="SimSun"/>
                <w:szCs w:val="21"/>
              </w:rPr>
              <w:t>B2B直接出口”）；或境内企业将出口货物通过跨境物流送达海外仓，通过跨境电商平台实现交易后从海外仓送达购买者（以下简称“跨境电商出口海外仓”）；并根据海关要求传输相关电子数据的，按照本公告接受海关监管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二、增列海关监管方式代码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504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（二）增列海关监管方式代码“</w:t>
            </w:r>
            <w:r w:rsidRPr="00F46AB0">
              <w:rPr>
                <w:rFonts w:ascii="SimSun" w:eastAsia="SimSun" w:hAnsi="SimSun"/>
                <w:szCs w:val="21"/>
              </w:rPr>
              <w:t>9710”，全称“跨境电子商务企业对企业直接出口”，简称“跨境电商B2B直接出口”，适用于跨境电商B2B直接出口的货物。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504"/>
              <w:rPr>
                <w:rFonts w:ascii="SimSun" w:hAnsi="SimSun" w:hint="eastAsia"/>
                <w:sz w:val="20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504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（三）</w:t>
            </w:r>
            <w:r w:rsidRPr="00F46AB0">
              <w:rPr>
                <w:rFonts w:ascii="SimSun" w:eastAsia="SimSun" w:hAnsi="SimSun" w:hint="eastAsia"/>
                <w:spacing w:val="-2"/>
                <w:szCs w:val="21"/>
              </w:rPr>
              <w:t>增列海关监管方式代码“</w:t>
            </w:r>
            <w:r w:rsidRPr="00F46AB0">
              <w:rPr>
                <w:rFonts w:ascii="SimSun" w:eastAsia="SimSun" w:hAnsi="SimSun"/>
                <w:spacing w:val="-2"/>
                <w:szCs w:val="21"/>
              </w:rPr>
              <w:t>9810”，全称“跨境电子商务出口海外仓”，简称“跨境电商出口海外仓”，适用于跨境电商出口海外仓的货物。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504"/>
              <w:rPr>
                <w:rFonts w:ascii="SimSun" w:hAnsi="SimSun" w:hint="eastAsia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三、企业管理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（四）跨境电商企业、跨境电商平台企业、物流企业等参与跨境电商</w:t>
            </w:r>
            <w:r w:rsidRPr="00F46AB0">
              <w:rPr>
                <w:rFonts w:ascii="SimSun" w:eastAsia="SimSun" w:hAnsi="SimSun"/>
                <w:szCs w:val="21"/>
              </w:rPr>
              <w:t>B2B出口业务的境内企业，应当依据海关报关单位注册登记管理有关规定，向所在地海关办理注册登记。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开展出口海外仓业务的跨境电商企业，还应当在海关开展出口海外仓业务模式备案。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四、通关管理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（五）跨境电商企业或其委托的代理报关企业、境内跨境电商平台企业、物流企业应当通过国际贸易“单一窗口”或“互联网</w:t>
            </w:r>
            <w:r w:rsidRPr="00F46AB0">
              <w:rPr>
                <w:rFonts w:ascii="SimSun" w:eastAsia="SimSun" w:hAnsi="SimSun"/>
                <w:szCs w:val="21"/>
              </w:rPr>
              <w:t>+海关”向海关提交申报数据、传输电子信息，并对数据真实性承担相应法律责任。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（六）跨境电商</w:t>
            </w:r>
            <w:r w:rsidRPr="00F46AB0">
              <w:rPr>
                <w:rFonts w:ascii="SimSun" w:eastAsia="SimSun" w:hAnsi="SimSun"/>
                <w:szCs w:val="21"/>
              </w:rPr>
              <w:t>B2B出口货物应当符合检验检疫相关规定。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（七）海关实施查验时，跨境电商企业或其代理人、监管作业场所经营人应当按照有关规定配合海关查验。海关按规定实施查验，对跨境电商</w:t>
            </w:r>
            <w:r w:rsidRPr="00F46AB0">
              <w:rPr>
                <w:rFonts w:ascii="SimSun" w:eastAsia="SimSun" w:hAnsi="SimSun"/>
                <w:szCs w:val="21"/>
              </w:rPr>
              <w:t>B2B出口货物可优先安排查验。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（八）跨境电商</w:t>
            </w:r>
            <w:r w:rsidRPr="00F46AB0">
              <w:rPr>
                <w:rFonts w:ascii="SimSun" w:eastAsia="SimSun" w:hAnsi="SimSun"/>
                <w:szCs w:val="21"/>
              </w:rPr>
              <w:t>B2B出口货物适用全国通关一体化，也可采用“跨境电商”模式进行转关。</w:t>
            </w:r>
          </w:p>
          <w:p w:rsid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五、其他事项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（九）本公告有关用语的含义：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/>
                <w:sz w:val="28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“跨境电商</w:t>
            </w:r>
            <w:r w:rsidRPr="00F46AB0">
              <w:rPr>
                <w:rFonts w:ascii="SimSun" w:eastAsia="SimSun" w:hAnsi="SimSun"/>
                <w:szCs w:val="21"/>
              </w:rPr>
              <w:t>B2B出口”是指境内企业通过跨境物流将货物运送至境外企业或海外仓，并通过跨境电商平台完成交易的贸易形式。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32"/>
              <w:rPr>
                <w:rFonts w:ascii="SimSun" w:hAnsi="SimSun" w:hint="eastAsia"/>
                <w:szCs w:val="21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“跨境电商平台”是指为交易双方提供网页空间、虚拟经营场所、交易规则、信息发布等服务，设立供交易双方独立开展交易活动的信息网络系统。包括自营平台和第三方平台，境内平台和境外平台。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（十）在北京海关、天津海关、南京海关、杭州海关、宁波海关、厦门海关、郑州海关、广州海关、深圳海关、黄埔海关开展跨境电商</w:t>
            </w:r>
            <w:r w:rsidRPr="00F46AB0">
              <w:rPr>
                <w:rFonts w:ascii="SimSun" w:eastAsia="SimSun" w:hAnsi="SimSun"/>
                <w:szCs w:val="21"/>
              </w:rPr>
              <w:t>B2B出口监管试点。根据试点情况及时在全国海关复制推广。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（十一）</w:t>
            </w:r>
            <w:r w:rsidRPr="00F46AB0">
              <w:rPr>
                <w:rFonts w:ascii="SimSun" w:eastAsia="SimSun" w:hAnsi="SimSun" w:hint="eastAsia"/>
                <w:spacing w:val="-4"/>
                <w:szCs w:val="21"/>
              </w:rPr>
              <w:t>本公告自</w:t>
            </w:r>
            <w:r w:rsidRPr="00F46AB0">
              <w:rPr>
                <w:rFonts w:ascii="SimSun" w:eastAsia="SimSun" w:hAnsi="SimSun"/>
                <w:spacing w:val="-4"/>
                <w:szCs w:val="21"/>
              </w:rPr>
              <w:t>2020年7月1日起施行，未尽事宜按海关有关规定办理。</w:t>
            </w: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</w:rPr>
            </w:pP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eastAsia="SimSun" w:hAnsi="SimSun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snapToGrid w:val="0"/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F46AB0" w:rsidRPr="00F46AB0" w:rsidRDefault="00F46AB0" w:rsidP="00F46AB0">
            <w:pPr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DB5008" w:rsidRPr="00E9086C" w:rsidRDefault="00F46AB0" w:rsidP="00F46AB0">
            <w:pPr>
              <w:snapToGrid w:val="0"/>
              <w:spacing w:line="300" w:lineRule="auto"/>
              <w:jc w:val="right"/>
              <w:rPr>
                <w:spacing w:val="15"/>
                <w:szCs w:val="21"/>
              </w:rPr>
            </w:pPr>
            <w:r w:rsidRPr="00F46AB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F46AB0">
              <w:rPr>
                <w:rFonts w:ascii="SimSun" w:eastAsia="SimSun" w:hAnsi="SimSun"/>
                <w:szCs w:val="21"/>
              </w:rPr>
              <w:t>2020年6月12日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FF" w:rsidRDefault="00691AFF" w:rsidP="00C278F4">
      <w:r>
        <w:separator/>
      </w:r>
    </w:p>
  </w:endnote>
  <w:endnote w:type="continuationSeparator" w:id="0">
    <w:p w:rsidR="00691AFF" w:rsidRDefault="00691AFF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FF" w:rsidRDefault="00691AFF" w:rsidP="00C278F4">
      <w:r>
        <w:separator/>
      </w:r>
    </w:p>
  </w:footnote>
  <w:footnote w:type="continuationSeparator" w:id="0">
    <w:p w:rsidR="00691AFF" w:rsidRDefault="00691AFF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91AFF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46AB0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6219-DB80-4559-A1CD-C5D94C0A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2020-07-14T09:11:00Z</dcterms:modified>
</cp:coreProperties>
</file>