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860E70" w:rsidTr="0070285D">
        <w:tc>
          <w:tcPr>
            <w:tcW w:w="4786" w:type="dxa"/>
          </w:tcPr>
          <w:p w:rsidR="00860E70" w:rsidRPr="00860E70" w:rsidRDefault="00860E70" w:rsidP="00860E70">
            <w:pPr>
              <w:snapToGrid w:val="0"/>
              <w:spacing w:line="360" w:lineRule="auto"/>
              <w:jc w:val="center"/>
              <w:rPr>
                <w:rFonts w:ascii="宋体" w:eastAsia="宋体" w:hAnsi="宋体"/>
                <w:b/>
                <w:bCs/>
                <w:sz w:val="26"/>
                <w:szCs w:val="26"/>
              </w:rPr>
            </w:pPr>
            <w:r w:rsidRPr="00860E70">
              <w:rPr>
                <w:rFonts w:ascii="宋体" w:eastAsia="宋体" w:hAnsi="宋体" w:hint="eastAsia"/>
                <w:b/>
                <w:bCs/>
                <w:sz w:val="26"/>
                <w:szCs w:val="26"/>
              </w:rPr>
              <w:t>국가발전개혁위원회•상무부의</w:t>
            </w:r>
          </w:p>
          <w:p w:rsidR="00860E70" w:rsidRPr="00860E70" w:rsidRDefault="00860E70" w:rsidP="00860E70">
            <w:pPr>
              <w:snapToGrid w:val="0"/>
              <w:spacing w:line="360" w:lineRule="auto"/>
              <w:jc w:val="center"/>
              <w:rPr>
                <w:rFonts w:ascii="宋体" w:eastAsia="宋体" w:hAnsi="宋体" w:hint="eastAsia"/>
                <w:b/>
                <w:bCs/>
                <w:sz w:val="26"/>
                <w:szCs w:val="26"/>
              </w:rPr>
            </w:pPr>
            <w:r w:rsidRPr="00860E70">
              <w:rPr>
                <w:rFonts w:ascii="宋体" w:eastAsia="宋体" w:hAnsi="宋体" w:hint="eastAsia"/>
                <w:b/>
                <w:bCs/>
                <w:sz w:val="26"/>
                <w:szCs w:val="26"/>
              </w:rPr>
              <w:t>하이난(海南) 자유무역항 건설을 지원하기 위한 시장진입 규제 완화 특별조치에 관한 의견</w:t>
            </w:r>
          </w:p>
          <w:p w:rsidR="00860E70" w:rsidRDefault="00860E70" w:rsidP="00860E70">
            <w:pPr>
              <w:wordWrap w:val="0"/>
              <w:topLinePunct/>
              <w:snapToGrid w:val="0"/>
              <w:spacing w:line="360" w:lineRule="auto"/>
              <w:jc w:val="center"/>
              <w:rPr>
                <w:rFonts w:ascii="Gulim" w:eastAsia="Gulim" w:hAnsi="Gulim" w:cs="宋体" w:hint="eastAsia"/>
                <w:szCs w:val="21"/>
                <w:lang w:eastAsia="ko-KR"/>
              </w:rPr>
            </w:pPr>
            <w:r>
              <w:rPr>
                <w:rFonts w:ascii="Gulim" w:eastAsia="Gulim" w:hAnsi="Gulim" w:cs="Batang" w:hint="eastAsia"/>
                <w:szCs w:val="21"/>
                <w:lang w:eastAsia="ko-KR"/>
              </w:rPr>
              <w:t>발개체개[2021]479호</w:t>
            </w:r>
          </w:p>
          <w:p w:rsidR="00860E70" w:rsidRDefault="00860E70" w:rsidP="00860E70">
            <w:pPr>
              <w:wordWrap w:val="0"/>
              <w:topLinePunct/>
              <w:snapToGrid w:val="0"/>
              <w:spacing w:line="360" w:lineRule="auto"/>
              <w:rPr>
                <w:rFonts w:ascii="Gulim" w:eastAsia="Gulim" w:hAnsi="Gulim" w:hint="eastAsia"/>
                <w:szCs w:val="21"/>
                <w:lang w:eastAsia="ko-KR"/>
              </w:rPr>
            </w:pPr>
          </w:p>
          <w:p w:rsidR="00860E70" w:rsidRDefault="00860E70" w:rsidP="00860E70">
            <w:pPr>
              <w:wordWrap w:val="0"/>
              <w:topLinePunct/>
              <w:snapToGrid w:val="0"/>
              <w:spacing w:line="360" w:lineRule="auto"/>
              <w:rPr>
                <w:rFonts w:ascii="Gulim" w:eastAsia="Gulim" w:hAnsi="Gulim" w:hint="eastAsia"/>
                <w:szCs w:val="21"/>
                <w:lang w:eastAsia="ko-KR"/>
              </w:rPr>
            </w:pPr>
          </w:p>
          <w:p w:rsidR="00860E70" w:rsidRDefault="00860E70" w:rsidP="00860E70">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 xml:space="preserve">하이난(海南)성 인민정부 • 국무원 유관 부처와 산하 직속기관 : </w:t>
            </w:r>
          </w:p>
          <w:p w:rsidR="00860E70" w:rsidRDefault="00860E70" w:rsidP="00860E70">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&lt;하이난(海南) 자유무역항 총체적 건설 방안&gt;의 요구에 따라 하이난(海南)성의 중국 특색 자유무역항 시장 진입 체계 및 시장 환경 조성을 지원하고 생산요소의 자유롭고 원활한 유동을 촉진시키며 국제비교우위 산업의 육성을 가속화하고 고품질•고수준의 자유무역항을 건설하기 위한 목적으로 당중앙•국무원의 승인을 거쳐 다음과 같이 의견을 제시한다.</w:t>
            </w:r>
          </w:p>
          <w:p w:rsidR="00860E70" w:rsidRDefault="00860E70" w:rsidP="00860E70">
            <w:pPr>
              <w:wordWrap w:val="0"/>
              <w:topLinePunct/>
              <w:snapToGrid w:val="0"/>
              <w:spacing w:line="360" w:lineRule="auto"/>
              <w:rPr>
                <w:rFonts w:ascii="Gulim" w:eastAsia="Gulim" w:hAnsi="Gulim" w:hint="eastAsia"/>
                <w:szCs w:val="21"/>
                <w:lang w:eastAsia="ko-KR"/>
              </w:rPr>
            </w:pPr>
          </w:p>
          <w:p w:rsidR="00860E70" w:rsidRDefault="00860E70" w:rsidP="00860E70">
            <w:pPr>
              <w:pStyle w:val="a4"/>
              <w:numPr>
                <w:ilvl w:val="0"/>
                <w:numId w:val="32"/>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의약•위생 분야의 시장 진입 방식을 혁신한다.</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온라인 처방약 판매를 전개하는 것을 지원한다. </w:t>
            </w:r>
            <w:r>
              <w:rPr>
                <w:rFonts w:ascii="Gulim" w:eastAsia="Gulim" w:hAnsi="Gulim" w:cs="Batang" w:hint="eastAsia"/>
                <w:lang w:eastAsia="ko-KR"/>
              </w:rPr>
              <w:t>보</w:t>
            </w:r>
            <w:r>
              <w:rPr>
                <w:rFonts w:ascii="Gulim" w:eastAsia="Gulim" w:hAnsi="Gulim" w:hint="eastAsia"/>
                <w:lang w:eastAsia="ko-KR"/>
              </w:rPr>
              <w:t>아오(博鰲) 러청</w:t>
            </w:r>
            <w:bookmarkStart w:id="0" w:name="OLE_LINK4"/>
            <w:bookmarkStart w:id="1" w:name="OLE_LINK3"/>
            <w:r>
              <w:rPr>
                <w:rFonts w:ascii="Gulim" w:eastAsia="Gulim" w:hAnsi="Gulim" w:hint="eastAsia"/>
                <w:lang w:eastAsia="ko-KR"/>
              </w:rPr>
              <w:t>(樂城)</w:t>
            </w:r>
            <w:bookmarkEnd w:id="0"/>
            <w:bookmarkEnd w:id="1"/>
            <w:r>
              <w:rPr>
                <w:rFonts w:ascii="Gulim" w:eastAsia="Gulim" w:hAnsi="Gulim" w:hint="eastAsia"/>
                <w:lang w:eastAsia="ko-KR"/>
              </w:rPr>
              <w:t xml:space="preserve"> 국제의료관광 선행구(이하 ‘러청(樂城) 선행구’로 약칭)에 하이난(海南)전자처방센터(처방약 판매기관을 상대로 제3자 정보 서비스 제공)를 설립한다. 국내에 출시되어 유통 중인 처방약으로 약품관리법상 특수 관리 대상에 해당되는 약품을 제외하고 별도의 심사비준 없이 전자처방센터에 의탁하여 온라인 판매하는 것을 허용한다. 하이난(海南)전자처방센터를 온라인 병원, 하이난(海南) 의료기</w:t>
            </w:r>
            <w:r>
              <w:rPr>
                <w:rFonts w:ascii="Gulim" w:eastAsia="Gulim" w:hAnsi="Gulim" w:hint="eastAsia"/>
                <w:lang w:eastAsia="ko-KR"/>
              </w:rPr>
              <w:lastRenderedPageBreak/>
              <w:t xml:space="preserve">관 처방 시스템, 각 유형의 처방약 판매 플랫폼, 의료보험 정보 플랫폼, 결제기관, 상업형 보험기관과 연결시켜 처방 정보의 통일적 취합, 처방약 구매, 정보안전 인증, 의료보험 정산 등 사항의 ‘온라인 원스톱 서비스(一網通辦)’를 실현한다. 하이난(海南)전자처방센터와 하이난(海南)성 관련 부서는 상세한 업무 추진 방안을 제정하여 고위험약물 관리를 강화하고 네트워크 보안, 정보 보안, 개인 사생활 보호 등 관련 주체책임을 실행하여야 한다. 블록체인, 양자 정보 등 기술을 이용하여 온오프라인 연동ㅅ 감독관리, 약품 유통 전(全) 과정 추적, 안전한 데이터 저장을 실현한다. </w:t>
            </w:r>
            <w:r>
              <w:rPr>
                <w:rFonts w:ascii="Gulim" w:eastAsia="Gulim" w:hAnsi="Gulim" w:hint="eastAsia"/>
                <w:b/>
                <w:bCs/>
                <w:lang w:eastAsia="ko-KR"/>
              </w:rPr>
              <w:t xml:space="preserve">(주도기관 : 국가위생건강위원회•국가약품감독관리국•국가발전개혁위원회가 직책에 따라 분담. </w:t>
            </w:r>
            <w:r>
              <w:rPr>
                <w:rFonts w:ascii="Gulim" w:eastAsia="Gulim" w:hAnsi="Gulim" w:cs="Batang" w:hint="eastAsia"/>
                <w:b/>
                <w:bCs/>
                <w:lang w:eastAsia="ko-KR"/>
              </w:rPr>
              <w:t>참</w:t>
            </w:r>
            <w:r>
              <w:rPr>
                <w:rFonts w:ascii="Gulim" w:eastAsia="Gulim" w:hAnsi="Gulim" w:hint="eastAsia"/>
                <w:b/>
                <w:bCs/>
                <w:lang w:eastAsia="ko-KR"/>
              </w:rPr>
              <w:t>여기관 : 국가의료보장국•은행보험감독관리위원회•국가한의약관리국)</w:t>
            </w:r>
            <w:r>
              <w:rPr>
                <w:rFonts w:ascii="Gulim" w:eastAsia="Gulim" w:hAnsi="Gulim" w:hint="eastAsia"/>
                <w:lang w:eastAsia="ko-KR"/>
              </w:rPr>
              <w:t xml:space="preserve"> </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하이난(海南)의 국산화 첨단 의료장비 혁신 발전을 지원한다. </w:t>
            </w:r>
            <w:r>
              <w:rPr>
                <w:rFonts w:ascii="Gulim" w:eastAsia="Gulim" w:hAnsi="Gulim" w:cs="Batang" w:hint="eastAsia"/>
                <w:lang w:eastAsia="ko-KR"/>
              </w:rPr>
              <w:t>국</w:t>
            </w:r>
            <w:r>
              <w:rPr>
                <w:rFonts w:ascii="Gulim" w:eastAsia="Gulim" w:hAnsi="Gulim" w:hint="eastAsia"/>
                <w:lang w:eastAsia="ko-KR"/>
              </w:rPr>
              <w:t xml:space="preserve">내 최초(대•세트) 첨단 의료장비의 하이난(海南)성 내 생산을 장려한다. 하이난(海南)에서 국내 최초(대•세트) 중대 기술장비 보급•응용 지도목록 또는 갑(甲)•을(乙)형 대형 의료설비 도입 허가목록에 수록된 국산 대형 의료설비 생산 시 국내 최초(대•세트) 국산설비 관련 문건의 요구에 따라 집행한다. </w:t>
            </w:r>
            <w:r>
              <w:rPr>
                <w:rFonts w:ascii="Gulim" w:eastAsia="Gulim" w:hAnsi="Gulim" w:hint="eastAsia"/>
                <w:b/>
                <w:bCs/>
                <w:lang w:eastAsia="ko-KR"/>
              </w:rPr>
              <w:t>(주도기관 : 공업정보화부•국가위생건강위원회•국가약품감독관리국. 참여기관 : 국가발전개혁위원회)</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약품 시장 진입에 대한 지원을 확대한다. </w:t>
            </w:r>
            <w:r>
              <w:rPr>
                <w:rFonts w:ascii="Gulim" w:eastAsia="Gulim" w:hAnsi="Gulim" w:hint="eastAsia"/>
                <w:lang w:eastAsia="ko-KR"/>
              </w:rPr>
              <w:t>하이난(海南)성 인민정부는 약품(한의약•화학약•생물학적 제제) 개발•시험•생산•응용 환</w:t>
            </w:r>
            <w:r>
              <w:rPr>
                <w:rFonts w:ascii="Gulim" w:eastAsia="Gulim" w:hAnsi="Gulim" w:hint="eastAsia"/>
                <w:lang w:eastAsia="ko-KR"/>
              </w:rPr>
              <w:lastRenderedPageBreak/>
              <w:t xml:space="preserve">경을 최적화하고 하이난(海南)성 내에 국산 고가치 의료용 소모품, 국가혁신약 및 한의약 개발•생산업체를 설립하는 것을 장려하며 하이난(海南)성의 신약개발 융자 시스템을 보완한다. 또한, 약품출시허가 소지자와 매칭되는 신약개발 지원 제도를 구축하고 국내외 제약사와 약품개발기관이 하이난(海南)에서 각종의 혁신약•개량신약을 개발하는 것을 장려한다. 등록지가 하이난(海南)으로 되어있는 제약사가 중국 경내에서 I-III기 임상시험을 완료하고 출시허가를 획득한 혁신약에 대하여 해당 조건을 갖춘 하이난(海南)성 내 의료기관이 ‘허가 즉시 구매(隨批隨進)’의 원칙에 따라 직접적으로 사용하는 것을 장려하며 유관부서는 별도의 시장 진입 요구사항을 설정하여서는 아니된다. </w:t>
            </w:r>
            <w:r>
              <w:rPr>
                <w:rFonts w:ascii="Gulim" w:eastAsia="Gulim" w:hAnsi="Gulim" w:hint="eastAsia"/>
                <w:b/>
                <w:bCs/>
                <w:lang w:eastAsia="ko-KR"/>
              </w:rPr>
              <w:t xml:space="preserve">(주도기관 : 국가약품감독관리국•국가위생건강위원회. 참여기관 : 국가한의약관리국•해관총서) </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임상시험수탁기관(CRO) 시장 진입 규제를 전면 완화한다. </w:t>
            </w:r>
            <w:r>
              <w:rPr>
                <w:rFonts w:ascii="Gulim" w:eastAsia="Gulim" w:hAnsi="Gulim" w:hint="eastAsia"/>
                <w:lang w:eastAsia="ko-KR"/>
              </w:rPr>
              <w:t>하이난(海南)성 인민정부는 하이난(海南)성 내 임상시험수탁기관(CRO) 설립•발전 지원에 관한 정책 의견을 제정하고 하이난(海南)성 내에 의약연구 국제표준의 지역윤리센터를 설립하는 것을 지원하며 하이난(海南)성 내 의료기관이 임상시험수탁기관과 협력하는 것을 장려함으로써 의료기관의 임상시험 기술능력과 품질관리 수준을 제고시킨다. 의료기관의 한약제제에 대한 심사비준•비안(備案) 절차를 최적화학 개선한다. 안전성•유효성의 원칙에 따라 관련 표준을 제정하고 하이난(海南)에서 한의</w:t>
            </w:r>
            <w:r>
              <w:rPr>
                <w:rFonts w:ascii="Gulim" w:eastAsia="Gulim" w:hAnsi="Gulim" w:hint="eastAsia"/>
                <w:lang w:eastAsia="ko-KR"/>
              </w:rPr>
              <w:lastRenderedPageBreak/>
              <w:t>약 임상시험 및 출시 후 재평가 관련 시범사업을 전개한다.</w:t>
            </w:r>
            <w:r>
              <w:rPr>
                <w:rFonts w:ascii="Gulim" w:eastAsia="Gulim" w:hAnsi="Gulim" w:hint="eastAsia"/>
                <w:b/>
                <w:bCs/>
                <w:lang w:eastAsia="ko-KR"/>
              </w:rPr>
              <w:t xml:space="preserve"> (주도기관 : 국가약품감독관리국. 참여기관 : 과학기술부•국가위생건강위원회•국가한의약관리국)</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하이난(海南)성의 첨단 의료미용 산업 발전을 지원한다.</w:t>
            </w:r>
            <w:r>
              <w:rPr>
                <w:rFonts w:ascii="Gulim" w:eastAsia="Gulim" w:hAnsi="Gulim" w:hint="eastAsia"/>
                <w:lang w:eastAsia="ko-KR"/>
              </w:rPr>
              <w:t xml:space="preserve"> 유명 미용의료기관이 러청(樂城) 선행구에 입주하는 것을 장려한다. 러청(樂城) 선행구 내 미용의료기관은 미국•유럽•일본 등 국가/지역에 출시된 의료미용 제품을 대량 사용할 수 있다. 단, 국내 등록 또는 비안(備案) 이 필요한 약품•의료기기•화장품의 경우 법에 의거하여 등록 또는 비안(備案) 절차를 이행하여야 한다. 러청(樂城) 선행구는 관련 장려 조치를 제정할 수 있다. 하이난(海南)성 유관 부서는 연구를 거쳐 러청(樂城) 선행구의 의료미용 산업 발전에 필요한 수입약품•의료기기•화장품기업 및 제품 리스트를 제정하고 관련 기업의 등록 업무에 협조하며 국가약품감독관리부서는 지원을 제공한다. 해외의 유능한 의료미용 의사가 법률•법규에 의거하여 하이난(海南)에서 단기진료를 하는 것을 지원하고 의료미용관광 산업의 발전을 촉진시킨다. 국제적•전문적 의료미용 산업 전시회•정상회담•포럼을 유치•주최한는 것을 지원하고 의료미용기관에 대한 심사비준과 감독관리를 규범화한다. </w:t>
            </w:r>
            <w:r>
              <w:rPr>
                <w:rFonts w:ascii="Gulim" w:eastAsia="Gulim" w:hAnsi="Gulim" w:hint="eastAsia"/>
                <w:b/>
                <w:bCs/>
                <w:lang w:eastAsia="ko-KR"/>
              </w:rPr>
              <w:t>(주도기관 : 국가위생건강위원회•국가약품감독관리국. 참여기관 : 상무부•문화관광부)</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이식(移植) 과학 전체 분야의 시장 진입 및 발전 환경을 최적화한다. </w:t>
            </w:r>
            <w:r>
              <w:rPr>
                <w:rFonts w:ascii="Gulim" w:eastAsia="Gulim" w:hAnsi="Gulim" w:hint="eastAsia"/>
                <w:lang w:eastAsia="ko-KR"/>
              </w:rPr>
              <w:t>다양한 양질의 자원을 집중하여 국제이식과학연구센터를 설</w:t>
            </w:r>
            <w:r>
              <w:rPr>
                <w:rFonts w:ascii="Gulim" w:eastAsia="Gulim" w:hAnsi="Gulim" w:hint="eastAsia"/>
                <w:lang w:eastAsia="ko-KR"/>
              </w:rPr>
              <w:lastRenderedPageBreak/>
              <w:t xml:space="preserve">립하고 국제적 선진 기준에 부합하는 조직은행 구축을 가속화하며 관련 제도와 업무 체계를 지속적으로 보완하고 생물학적 재생재료 연구성과의 하이난(海南)성 내 응용•상업화를 추진한다. 이식 분야 각종 신약•검사시약•유전자기술•의료기기 등 시장의 진입 환경을 최적화하고 개발•등록•생산•사용 등 시장 진입 절차를 원활화하며 해당 조건에 부합하는 관련 제품에 대하여 우선적 또는 혁신적 심사비준 절차를 적용하는 것을 지원한다. 장기이식 클리닉 개업자격 인정 심사비준에 있어 민간자본으로 설립된 의료기관과 공공의료기관을 일시동인하고 통일된 진입 기준을 적용한다. 러청(樂城) 선행구 내에 국제이식의료재활진료센터를 설립하고 각 대형 의료기관과의 이식의료재활진료 협력을 전개한다. 조건에 부합하는 이식의료 항목을 의료보험 적용 대상에 포함시키고 의료보험 격지 정산 원활화를 실현한다. 상업보험기관의 이식진료 및 재활 관련 보험에 대한 모색과 연구를 장려한다. 국내 일류 한의의료기관이 하이난(海南)성 내에 관련 기관을 설립하여 한의학과 현대의학을 접목시킨 이식 진료에 대한 연구를 전개하고 재활과 노인요양의 결합을 촉진시키는 것을 장려한다. </w:t>
            </w:r>
            <w:r>
              <w:rPr>
                <w:rFonts w:ascii="Gulim" w:eastAsia="Gulim" w:hAnsi="Gulim" w:hint="eastAsia"/>
                <w:b/>
                <w:bCs/>
                <w:lang w:eastAsia="ko-KR"/>
              </w:rPr>
              <w:t>(주도기관 : 국가위생건강위원회•국가약품감독관리국. 참여기관 : 과학기술부•국가의료보장국•국가한의약관리국•중국과학원)</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하이난(海南) 의료건강산업 발전 혼합소유제개혁펀드를 조성한다. </w:t>
            </w:r>
            <w:r>
              <w:rPr>
                <w:rFonts w:ascii="Gulim" w:eastAsia="Gulim" w:hAnsi="Gulim" w:hint="eastAsia"/>
                <w:lang w:eastAsia="ko-KR"/>
              </w:rPr>
              <w:t xml:space="preserve">국가발전개혁위원회의 지도하에 민간자본이 출자하고 시장화 </w:t>
            </w:r>
            <w:r>
              <w:rPr>
                <w:rFonts w:ascii="Gulim" w:eastAsia="Gulim" w:hAnsi="Gulim" w:hint="eastAsia"/>
                <w:lang w:eastAsia="ko-KR"/>
              </w:rPr>
              <w:lastRenderedPageBreak/>
              <w:t xml:space="preserve">방식으로 운영되는 하이난(海南) 의료건강산업 발전 혼합소유제개혁펀드를 조성하는 것을 지원하고 관련 산업의 정착•발전을 지원한다. 증권감독관리위원회는 혼합소유제개혁펀드가 지원하는 전략적 중점기업의 상장•인수합병•구조조정 등을 적극적으로 지원한다. </w:t>
            </w:r>
            <w:r>
              <w:rPr>
                <w:rFonts w:ascii="Gulim" w:eastAsia="Gulim" w:hAnsi="Gulim" w:hint="eastAsia"/>
                <w:b/>
                <w:bCs/>
                <w:lang w:eastAsia="ko-KR"/>
              </w:rPr>
              <w:t>(주도기관 : 국가발전개혁위원회. 참여기관 : 증권감독관리위원회)</w:t>
            </w:r>
          </w:p>
          <w:p w:rsidR="00860E70" w:rsidRDefault="00860E70" w:rsidP="00860E70">
            <w:pPr>
              <w:wordWrap w:val="0"/>
              <w:topLinePunct/>
              <w:snapToGrid w:val="0"/>
              <w:spacing w:line="360" w:lineRule="auto"/>
              <w:rPr>
                <w:rFonts w:ascii="Gulim" w:eastAsia="Gulim" w:hAnsi="Gulim" w:hint="eastAsia"/>
                <w:lang w:eastAsia="ko-KR"/>
              </w:rPr>
            </w:pPr>
          </w:p>
          <w:p w:rsidR="00860E70" w:rsidRDefault="00860E70" w:rsidP="00860E70">
            <w:pPr>
              <w:pStyle w:val="a4"/>
              <w:numPr>
                <w:ilvl w:val="0"/>
                <w:numId w:val="32"/>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금융 분야의 시장 진입 및 발전 환경을 최적화한다. </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하이난(海南)성 내 증권•보험•펀드 등 업종의 발전을 지원한다.</w:t>
            </w:r>
            <w:r>
              <w:rPr>
                <w:rFonts w:ascii="Gulim" w:eastAsia="Gulim" w:hAnsi="Gulim" w:hint="eastAsia"/>
                <w:lang w:eastAsia="ko-KR"/>
              </w:rPr>
              <w:t xml:space="preserve"> 법에 의거하여 증권사•펀드사 등 금융기관의 하이난(海南)성 내 정착을 지원한다. 의료건강보험•장기간병보험 등 상업보험을 발전시키는 것을 장려하고 다양한 형식의 양로(養老)금융을 발전시는 것을 지원한다. </w:t>
            </w:r>
            <w:r>
              <w:rPr>
                <w:rFonts w:ascii="Gulim" w:eastAsia="Gulim" w:hAnsi="Gulim" w:hint="eastAsia"/>
                <w:b/>
                <w:bCs/>
                <w:lang w:eastAsia="ko-KR"/>
              </w:rPr>
              <w:t xml:space="preserve">(주도기관 : 인민은행•은행보험감독관리위원회•증권감독관리위원회가 직책에 따라 분담. 참여기관 : 국가발전개혁위원회) </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데이터•정보 공유를 강화하고 농업 전체 산업사슬의 발전시키기 위한 시범사업을 전개한다. </w:t>
            </w:r>
            <w:r>
              <w:rPr>
                <w:rFonts w:ascii="Gulim" w:eastAsia="Gulim" w:hAnsi="Gulim" w:hint="eastAsia"/>
                <w:lang w:eastAsia="ko-KR"/>
              </w:rPr>
              <w:t xml:space="preserve">하이난(海南)성 내 일부 지역을 선정하여 시범사업을 전개한다. 지리정보시스템(GIS), 위성 원격탐지 기술, 드론 정보수집 기술 등 정보화 수단을 이용하여 토지•농작물 등 농업 전체 산업사슬의 데이터를 확보하고 시장화 원칙에 따라 제3자 기관을 유치하여 리스크 평가 및 신용 평가를 전개한다. 각종 금융기관이 각자의 기능에 근거하여 농업발전 수요와 시장화 원칙에 따라 </w:t>
            </w:r>
            <w:r>
              <w:rPr>
                <w:rFonts w:ascii="Gulim" w:eastAsia="Gulim" w:hAnsi="Gulim" w:hint="eastAsia"/>
                <w:lang w:eastAsia="ko-KR"/>
              </w:rPr>
              <w:lastRenderedPageBreak/>
              <w:t xml:space="preserve">제3자 기관의 평가 정보를 참고하고 법률•법규에 의거하여 농업 전체 산업사슬의 구축을 위한 금융지원을 제공하는 것을 장려하며 보험기관이 관련 농업보험 서비스를 전개하는 것을 장려한다. 하이난(海南)성이 재배•양식•어업생산•가공•유통•판매•체험 등 전체 산업사슬을 발전시키는 것을 장려한다. 하이난(海南)성이 관련 금융기관, 제3자 정보 서비스 기관과 회동하여 구체적인 실시방안을 제정하고 지방 농간(農墾)그룹의 자원 통합 및 정보 통합 우위를 충분히 활용하여 제3자 과학기술 정보 및 금융데이터 기관이 참여하고 농간(農墾)그룹, 농업 분야 선도기업, 농가가 연동(聯動)하는 발전 구도를 조성하는 것을 지원한다. </w:t>
            </w:r>
            <w:r>
              <w:rPr>
                <w:rFonts w:ascii="Gulim" w:eastAsia="Gulim" w:hAnsi="Gulim" w:hint="eastAsia"/>
                <w:b/>
                <w:bCs/>
                <w:lang w:eastAsia="ko-KR"/>
              </w:rPr>
              <w:t xml:space="preserve">(주도기관 : 농업농촌부•국가발전개혁위원회가 직책에 따라 분담. 참여기관 : 재정부•자연자원부•은행보험감독관리위원회) </w:t>
            </w:r>
          </w:p>
          <w:p w:rsidR="00860E70" w:rsidRDefault="00860E70" w:rsidP="00860E70">
            <w:pPr>
              <w:wordWrap w:val="0"/>
              <w:topLinePunct/>
              <w:snapToGrid w:val="0"/>
              <w:spacing w:line="360" w:lineRule="auto"/>
              <w:rPr>
                <w:rFonts w:ascii="Gulim" w:eastAsia="Gulim" w:hAnsi="Gulim" w:hint="eastAsia"/>
                <w:b/>
                <w:bCs/>
                <w:lang w:eastAsia="ko-KR"/>
              </w:rPr>
            </w:pPr>
          </w:p>
          <w:p w:rsidR="00860E70" w:rsidRDefault="00860E70" w:rsidP="00860E70">
            <w:pPr>
              <w:pStyle w:val="a4"/>
              <w:numPr>
                <w:ilvl w:val="0"/>
                <w:numId w:val="32"/>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문화 분야의 진입규제 완화와 번영•발전을 촉진시킨다.</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하이난(海南) 국제 문화재•예술품 거래센터 구축을 지원한다. </w:t>
            </w:r>
            <w:r>
              <w:rPr>
                <w:rFonts w:ascii="Gulim" w:eastAsia="Gulim" w:hAnsi="Gulim" w:hint="eastAsia"/>
                <w:lang w:eastAsia="ko-KR"/>
              </w:rPr>
              <w:t>예술품 업계 전시•거래•경매 등 국제규칙을 도입하고 중국 하이난(海南) 국제 문화재•예술품 거래센터를 구축하여 ‘일대일로(一帶一路)’ 연선국의 우수 예술품•문화재와 문화재 보호에 관한 법률규정에 부합하는 거래가 가능한 문화재를 위하여 개방적•전문적•편리적•효율적인 국제화 거래 플랫폼을 제공한다. 국내외 유명 경매업체가 거래센터에서 업무를 전개하는 것을 장려한다. 예술품과 거래가 가능한 문</w:t>
            </w:r>
            <w:r>
              <w:rPr>
                <w:rFonts w:ascii="Gulim" w:eastAsia="Gulim" w:hAnsi="Gulim" w:hint="eastAsia"/>
                <w:lang w:eastAsia="ko-KR"/>
              </w:rPr>
              <w:lastRenderedPageBreak/>
              <w:t xml:space="preserve">화재의 거래비용 절감을 추진하여 국제거래비용의 비교우위를 확보한다. 통관 원활화, 보세화물 감독관리, 저장•물류 등 면에서 정책적 지원을 제공한다. </w:t>
            </w:r>
            <w:r>
              <w:rPr>
                <w:rFonts w:ascii="Gulim" w:eastAsia="Gulim" w:hAnsi="Gulim" w:hint="eastAsia"/>
                <w:b/>
                <w:bCs/>
                <w:lang w:eastAsia="ko-KR"/>
              </w:rPr>
              <w:t>(주도기관 : 중앙선전부•문화관광부•국가문물국•국가발전개혁위원회가 직책에 따라 분담. 참여기관 : 상무부•인민은행•국무원국유자산감독관리위원회•해관총서•국가외환관리국)</w:t>
            </w:r>
          </w:p>
          <w:p w:rsidR="00860E70" w:rsidRDefault="00860E70" w:rsidP="00860E70">
            <w:pPr>
              <w:pStyle w:val="a4"/>
              <w:numPr>
                <w:ilvl w:val="0"/>
                <w:numId w:val="33"/>
              </w:numPr>
              <w:wordWrap w:val="0"/>
              <w:topLinePunct/>
              <w:snapToGrid w:val="0"/>
              <w:spacing w:line="360" w:lineRule="auto"/>
              <w:ind w:left="357" w:firstLineChars="0" w:hanging="357"/>
              <w:rPr>
                <w:rFonts w:ascii="Gulim" w:eastAsia="Gulim" w:hAnsi="Gulim" w:hint="eastAsia"/>
                <w:b/>
                <w:bCs/>
                <w:lang w:eastAsia="ko-KR"/>
              </w:rPr>
            </w:pPr>
            <w:r>
              <w:rPr>
                <w:rFonts w:ascii="Gulim" w:eastAsia="Gulim" w:hAnsi="Gulim" w:hint="eastAsia"/>
                <w:b/>
                <w:bCs/>
                <w:lang w:eastAsia="ko-KR"/>
              </w:rPr>
              <w:t xml:space="preserve">문화공연 산업의 발전을 장려한다. </w:t>
            </w:r>
            <w:r>
              <w:rPr>
                <w:rFonts w:ascii="Gulim" w:eastAsia="Gulim" w:hAnsi="Gulim" w:hint="eastAsia"/>
                <w:lang w:eastAsia="ko-KR"/>
              </w:rPr>
              <w:t xml:space="preserve">‘일대일로(一帶一路)’ 문화교류 및 협력 사업을 전개하는 것을 지원하고 ‘일대일로(一帶一路)’ 연선국 내지 전 세계의 고품질 문화공연 업계의 공연•작품•자본•과학기술 등 다양한 자원을 하이난(海南)으로 집중시킨다. 국제적으로 경쟁력이 있는 문화산업 장려•지원 정책을 실행하고 5G•VR•AR 등 신기술의 솔선적 응용을 장려하며 규획, 토지 사용, 해역 사용, 에너지 사용, 금융, 인재 유치 등 면에서 체계적인 지원을 제공한다. 영업성 공연 심사비준 제도를 최적화하고 사중(事中)•사후(事後) 감독관리 방식을 혁신하며 공연산업협회의 역할을 충분히 발휘시키고 업계 자율성을 강화한다. 오락시설 경영 활동 및 게임•오락 설비 콘텐츠에 대한 심사 제도를 최적화한다. </w:t>
            </w:r>
            <w:r>
              <w:rPr>
                <w:rFonts w:ascii="Gulim" w:eastAsia="Gulim" w:hAnsi="Gulim" w:hint="eastAsia"/>
                <w:b/>
                <w:bCs/>
                <w:lang w:eastAsia="ko-KR"/>
              </w:rPr>
              <w:t>(주도기관 : 문화관광부•중앙선전부. 참여기관 : 국가발전개혁위원회•과학기술부•공업정보화부•민정부•인력자원사회보장부•자연자원부•시장감독관리총국•국가이민관리국)</w:t>
            </w:r>
            <w:r>
              <w:rPr>
                <w:rFonts w:ascii="Gulim" w:eastAsia="Gulim" w:hAnsi="Gulim" w:hint="eastAsia"/>
                <w:lang w:eastAsia="ko-KR"/>
              </w:rPr>
              <w:t xml:space="preserve"> </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인터넷 게임 산업의 발전을 장려한다. </w:t>
            </w:r>
            <w:r>
              <w:rPr>
                <w:rFonts w:ascii="Gulim" w:eastAsia="Gulim" w:hAnsi="Gulim" w:hint="eastAsia"/>
                <w:lang w:eastAsia="ko-KR"/>
              </w:rPr>
              <w:t>국산 인터넷 게임 심사비준 권한을 하이난(海南)성으로 이양하는 시범사업을 추진하</w:t>
            </w:r>
            <w:r>
              <w:rPr>
                <w:rFonts w:ascii="Gulim" w:eastAsia="Gulim" w:hAnsi="Gulim" w:hint="eastAsia"/>
                <w:lang w:eastAsia="ko-KR"/>
              </w:rPr>
              <w:lastRenderedPageBreak/>
              <w:t xml:space="preserve">고 하이난(海南) 인터넷 게임 산업의 발전을 지원한다. </w:t>
            </w:r>
            <w:r>
              <w:rPr>
                <w:rFonts w:ascii="Gulim" w:eastAsia="Gulim" w:hAnsi="Gulim" w:hint="eastAsia"/>
                <w:b/>
                <w:bCs/>
                <w:lang w:eastAsia="ko-KR"/>
              </w:rPr>
              <w:t>(주도기관 : 중앙선전부)</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문화재 업종 분야의 진입 규제를 완화한다.</w:t>
            </w:r>
            <w:r>
              <w:rPr>
                <w:rFonts w:ascii="Gulim" w:eastAsia="Gulim" w:hAnsi="Gulim" w:hint="eastAsia"/>
                <w:lang w:eastAsia="ko-KR"/>
              </w:rPr>
              <w:t xml:space="preserve"> 하이난(海南)성 내 문화재 판매상점 설립에 대한 심사비준은 고지•승낙제를 시행한다. 시장화 방식으로 운영되는 문화재 복원•보호 및 감정•연구기관의 설립을 지원한다. </w:t>
            </w:r>
            <w:r>
              <w:rPr>
                <w:rFonts w:ascii="Gulim" w:eastAsia="Gulim" w:hAnsi="Gulim" w:hint="eastAsia"/>
                <w:b/>
                <w:bCs/>
                <w:lang w:eastAsia="ko-KR"/>
              </w:rPr>
              <w:t>(주도기관 : 국가문물묵)</w:t>
            </w:r>
          </w:p>
          <w:p w:rsidR="00860E70" w:rsidRDefault="00860E70" w:rsidP="00860E70">
            <w:pPr>
              <w:wordWrap w:val="0"/>
              <w:topLinePunct/>
              <w:snapToGrid w:val="0"/>
              <w:spacing w:line="360" w:lineRule="auto"/>
              <w:rPr>
                <w:rFonts w:ascii="Gulim" w:eastAsia="Gulim" w:hAnsi="Gulim" w:hint="eastAsia"/>
                <w:b/>
                <w:bCs/>
                <w:lang w:eastAsia="ko-KR"/>
              </w:rPr>
            </w:pPr>
          </w:p>
          <w:p w:rsidR="00860E70" w:rsidRDefault="00860E70" w:rsidP="00860E70">
            <w:pPr>
              <w:pStyle w:val="a4"/>
              <w:numPr>
                <w:ilvl w:val="0"/>
                <w:numId w:val="32"/>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교육 분야의 진입 규제 완화 및 자원 집중을 추진한다. </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대학교가 하이난(海南)성 내에서 과학연구 성과를 상용화하는 것을 장려한다.</w:t>
            </w:r>
            <w:r>
              <w:rPr>
                <w:rFonts w:ascii="Gulim" w:eastAsia="Gulim" w:hAnsi="Gulim" w:hint="eastAsia"/>
                <w:lang w:eastAsia="ko-KR"/>
              </w:rPr>
              <w:t xml:space="preserve"> 하이난(海南) 링수이(陵水) 국제교육 선행구, 러청(樂城) 선행구 등 중점 개발구역 내에 대학교의 바이오의약•전자정보•컴퓨터및빅데이터•인공지능•해양과학 등 다양한 연구성과 상용화 기지를 구축하는 것을 지원하며 대학교의 과학연구인원이 국가의 유관 규정에 따라 하이난(海南)에서 창업•겸직하거나 연구개발 성과 상용화를 전개하는 것을 장려한다. 대학교가 정상적인 운영과 사업의 발전을 보장하는 전제하에 국가 전략에 부합하는 산업투자펀드에 참여하고 양도/실시•출자 등 방식으로 과학연구 성과의 상용화를 촉진하는 것을 장려한다. </w:t>
            </w:r>
            <w:r>
              <w:rPr>
                <w:rFonts w:ascii="Gulim" w:eastAsia="Gulim" w:hAnsi="Gulim" w:hint="eastAsia"/>
                <w:b/>
                <w:bCs/>
                <w:lang w:eastAsia="ko-KR"/>
              </w:rPr>
              <w:t>(주도기관 : 교육부•과학기술부. 참여기관 : 국가발전개혁위원회•재정부•인력자원사회보장부)</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국내 명문 대학교가 하이난(海南)성 내에 국제학교를 설립하는 것을 지원한다.</w:t>
            </w:r>
            <w:r>
              <w:rPr>
                <w:rFonts w:ascii="Gulim" w:eastAsia="Gulim" w:hAnsi="Gulim" w:hint="eastAsia"/>
                <w:lang w:eastAsia="ko-KR"/>
              </w:rPr>
              <w:t xml:space="preserve"> 국내 명문 대학교가 하이난(海南) 링수이(陵水) 국제교육 선행구 또는 산야(三亞) 등 </w:t>
            </w:r>
            <w:r>
              <w:rPr>
                <w:rFonts w:ascii="Gulim" w:eastAsia="Gulim" w:hAnsi="Gulim" w:hint="eastAsia"/>
                <w:lang w:eastAsia="ko-KR"/>
              </w:rPr>
              <w:lastRenderedPageBreak/>
              <w:t xml:space="preserve">학교 설립 조건이 양호한 지역에 국제학원을 설립하고 ‘일대일로(一帶一路)’ 구축 사업을 지원하는 것을 지지한다. 국제학원은 작은 규모로 운영하되 고품질의 학부 교육을 전개하고 기초과학 및 응용기술 이공학과를 중심으로 학과와 전공을 설치한다. 중국과학원 산하 학원•연구소는 국제학원의 구축을 위하여 1대1 맞춤형 지원을 제공한다. 혁신적인 방식으로 세계 명문 대학교와 공동으로 학교를 설립하거나 학술교류를 추진하는 것을 장려한다. 설립 초기 위국인 유학생을 위주로 매년 300명~500명의 신입생을 모집한다. 외국인 유학생은 ‘일대일로(一帶一路)’ 연선국의 우수 고졸생 및 대학교 1학년 학생을 위주로 모집하되 입학신청을 받아 공정한 선발제도에 따라 우수한 자를 선발한다. 교육부는 중국 정부 장학급 등 방식으로 하이난(海南)성 내 관련 대학교의 고품질 중국 유학 프로젝트를 적극적으로 지원한다. 중국과학원 등 유관 기관은 하이난(海南)성과 회동하여 구체적인 구축 방안을 제정하고 절차에 따라 보고하여 승인을 받은 후 실시한다. </w:t>
            </w:r>
            <w:r>
              <w:rPr>
                <w:rFonts w:ascii="Gulim" w:eastAsia="Gulim" w:hAnsi="Gulim" w:hint="eastAsia"/>
                <w:b/>
                <w:bCs/>
                <w:lang w:eastAsia="ko-KR"/>
              </w:rPr>
              <w:t>(주도기관 : 중국과학원•교육부. 참여기관 : 국가발전개혁위원회•외교부•국가이민관리국)</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하이난(해남)성이 직업교육을 대대적으로 발전시키는 것을 장려한다.</w:t>
            </w:r>
            <w:r>
              <w:rPr>
                <w:rFonts w:ascii="Gulim" w:eastAsia="Gulim" w:hAnsi="Gulim" w:hint="eastAsia"/>
                <w:lang w:eastAsia="ko-KR"/>
              </w:rPr>
              <w:t xml:space="preserve"> 직업교육훈련 체계를 보완하고 산업과 교육의 융합, 학교와 기업의 협력을 심화하며 민간 역량이 독자•합자•합작 등 다양한 형식으로 직업교육 사업을 전개하는 것을 장려한다. 하이난(海南)성이 국가지역발전전략을 지원하</w:t>
            </w:r>
            <w:r>
              <w:rPr>
                <w:rFonts w:ascii="Gulim" w:eastAsia="Gulim" w:hAnsi="Gulim" w:hint="eastAsia"/>
                <w:lang w:eastAsia="ko-KR"/>
              </w:rPr>
              <w:lastRenderedPageBreak/>
              <w:t xml:space="preserve">는 직업기능 공공훈련기지를 조성하는 것을 지원한다. 하이난(海南)성이 의료, 재활•노인요양, 문화공연, 문화재 복원•감정 등 분야의 직업교육을 대대적으로 발전시키는 것을 장려하며 오로지 직업교육훈련만을 실시하는 사립학교의 설립•변경•종료에 대한 심사비준과 기능인(技工)학교 설립에 대한 심사비준은 고지•승낙제를 시행한다. </w:t>
            </w:r>
            <w:r>
              <w:rPr>
                <w:rFonts w:ascii="Gulim" w:eastAsia="Gulim" w:hAnsi="Gulim" w:hint="eastAsia"/>
                <w:b/>
                <w:bCs/>
                <w:lang w:eastAsia="ko-KR"/>
              </w:rPr>
              <w:t>(주도기관 : 교육부•인력자원사회보장부•국가발전개혁위원회)</w:t>
            </w:r>
          </w:p>
          <w:p w:rsidR="00860E70" w:rsidRDefault="00860E70" w:rsidP="00860E70">
            <w:pPr>
              <w:wordWrap w:val="0"/>
              <w:topLinePunct/>
              <w:snapToGrid w:val="0"/>
              <w:spacing w:line="360" w:lineRule="auto"/>
              <w:rPr>
                <w:rFonts w:ascii="Gulim" w:eastAsia="Gulim" w:hAnsi="Gulim" w:hint="eastAsia"/>
                <w:b/>
                <w:bCs/>
                <w:lang w:eastAsia="ko-KR"/>
              </w:rPr>
            </w:pPr>
          </w:p>
          <w:p w:rsidR="00860E70" w:rsidRDefault="00860E70" w:rsidP="00860E70">
            <w:pPr>
              <w:pStyle w:val="a4"/>
              <w:numPr>
                <w:ilvl w:val="0"/>
                <w:numId w:val="32"/>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기타 중점 분야의 시장 진입 규제를 완화한다.</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lang w:eastAsia="ko-KR"/>
              </w:rPr>
            </w:pPr>
            <w:r>
              <w:rPr>
                <w:rFonts w:ascii="Gulim" w:eastAsia="Gulim" w:hAnsi="Gulim" w:hint="eastAsia"/>
                <w:b/>
                <w:bCs/>
                <w:lang w:eastAsia="ko-KR"/>
              </w:rPr>
              <w:t xml:space="preserve">하이난(海南) 상용 항공우주 분야의 시장 진입 환경을 최적화하여 질적 발전을 촉진하고 실현한다. </w:t>
            </w:r>
            <w:r>
              <w:rPr>
                <w:rFonts w:ascii="Gulim" w:eastAsia="Gulim" w:hAnsi="Gulim" w:hint="eastAsia"/>
                <w:lang w:eastAsia="ko-KR"/>
              </w:rPr>
              <w:t>융합적•개방적인 원창(文昌)우주발사장을 구축하고 시장화 방식으로 운영되는 세계 일류의 우주 발사 시스템을 구축하며 관련 TT&amp;C 시스템, 지상 시스템, 응용 시스템을 통일적으로 계획•구축하고 중국 국제 상용 항공우주 산업의 발전 특징에 부합하는 건설•관리•운영 모델을 구축하는 것을 지원한다. 위성 원격탐사, 베이더우(北斗) 항법 시스템, 위성통신, 양자통신위성, 칩 디자인, 운반로켓, TT&amp;C 등 상용 항공우주 산업사슬의 하이난(海南)성 내 정착을 추진한다. 우주발사 신고, 우주발사장 조율 등 사항의 처리 절차를 최적화하고 운반로켓•엔진 및 관련 제품의 생산•저장•운송•실험 등 활동에 대한 안전 감독관리 능력을 강화한다. 하이난(海南)에서 베이더우(北斗) 항법 시스템의 국제 응용 시범사업</w:t>
            </w:r>
            <w:r>
              <w:rPr>
                <w:rFonts w:ascii="Gulim" w:eastAsia="Gulim" w:hAnsi="Gulim" w:hint="eastAsia"/>
                <w:lang w:eastAsia="ko-KR"/>
              </w:rPr>
              <w:lastRenderedPageBreak/>
              <w:t>을 전개하는 것을 지원한다. 민간자본이 출자하고 시장화 방식으로 운영되는 상용 항공우주 발전 혼합소유제개혁펀드를 조성하는 것을 지원한다. 보험기관이 준법성이 보장되고 리스크 통제가 가능한 전제하에 항공우주 분야 관련 보험 업무를 전개하는 것을 장려한다. 상업위성 및 하중 분야의 생산•학습•연구•운용 국제협력을 지원하고 위성 데이터 국제 공동 개발•응용 및 데이터 공유 서비스를 전개하는 것을 장려한다. 상용 항공우주 분야 기술 개발, 공학 개발, 시스템 운영, 응용•보급 등 영역의 국제협력에 대한 심사비준 절차를 최적화한다. 글로벌 상용 항공우주 분야 고급인재 및 혁신단체 유치를 위한 특별 우대정책을 제정하고 국제교류 및 교육훈련 플랫폼을 구축한다.</w:t>
            </w:r>
            <w:r>
              <w:rPr>
                <w:rFonts w:ascii="Gulim" w:eastAsia="Gulim" w:hAnsi="Gulim" w:hint="eastAsia"/>
                <w:b/>
                <w:bCs/>
                <w:lang w:eastAsia="ko-KR"/>
              </w:rPr>
              <w:t xml:space="preserve"> (주도기관 : 국방과학기술공업국•국가발전개혁위원회 등 기관이 직책에 따라 분담. 참여기관 : 과학기술부•공업정보화부•자연자원부•교통운수부•상무부•은행보험감독관리위원회)</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민간항공업 시장 진입 규제를 완화한다. </w:t>
            </w:r>
            <w:r>
              <w:rPr>
                <w:rFonts w:ascii="Gulim" w:eastAsia="Gulim" w:hAnsi="Gulim" w:hint="eastAsia"/>
                <w:lang w:eastAsia="ko-KR"/>
              </w:rPr>
              <w:t>하이난(海南) 민간용 공항의 관리방식을 최적화하고 민간용 공항 보안검색 설비 사용 허가 절차를 최적화하며 일반항공 전용공항 규획•건설 심사비준 절차를 간소화한다. 일반항공 분야의 등급화•분류화 된 인원 자격 관리 메커니즘과 항공기 비행 적합성 평가기준 체계 구축을 모색하고 비행훈련센터, 민간용 항공기 조종사 학교, 항공운항관리사 교육훈련기관 심사비준 절차를 간소화하며 안전 및 기술 요구사항을 준</w:t>
            </w:r>
            <w:r>
              <w:rPr>
                <w:rFonts w:ascii="Gulim" w:eastAsia="Gulim" w:hAnsi="Gulim" w:hint="eastAsia"/>
                <w:lang w:eastAsia="ko-KR"/>
              </w:rPr>
              <w:lastRenderedPageBreak/>
              <w:t xml:space="preserve">수하는 전제하에 진입 장벽을 최대한 완화한다. 5G 민간항공 안전 통신, 베이더우(北斗), 방송식 자동 모니터링 등 신기술을 공중교통 관리, 비행 서비스 등 분야에 응용하는 것을 지원한다. 금융•재정/조세•인재 등 지원 정책을 실행하고 일반항공, 항공기 연료유 보장, 항공기 정비 서비스 등 분야에 대한 민간자본의 투자를 장려한다. </w:t>
            </w:r>
            <w:r>
              <w:rPr>
                <w:rFonts w:ascii="Gulim" w:eastAsia="Gulim" w:hAnsi="Gulim" w:hint="eastAsia"/>
                <w:b/>
                <w:bCs/>
                <w:lang w:eastAsia="ko-KR"/>
              </w:rPr>
              <w:t>(주도기관 : 민용항공국•국가발전개혁위원회. 참여기관 : 공업정보화부•재정부•인민은행•은행보험감독관리위원회 등 기관)</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lang w:eastAsia="ko-KR"/>
              </w:rPr>
            </w:pPr>
            <w:r>
              <w:rPr>
                <w:rFonts w:ascii="Gulim" w:eastAsia="Gulim" w:hAnsi="Gulim" w:hint="eastAsia"/>
                <w:b/>
                <w:bCs/>
                <w:lang w:eastAsia="ko-KR"/>
              </w:rPr>
              <w:t xml:space="preserve">스포츠 시장의 진입 규제를 완화한다. </w:t>
            </w:r>
            <w:r>
              <w:rPr>
                <w:rFonts w:ascii="Gulim" w:eastAsia="Gulim" w:hAnsi="Gulim" w:hint="eastAsia"/>
                <w:lang w:eastAsia="ko-KR"/>
              </w:rPr>
              <w:t xml:space="preserve">하이난(海南)성 내에 국가 스포츠 훈련 남부(南方)기지 및 성(省)급 스포츠 센터를 구축하는 것을 지원한다. 국가 스포츠 관광 시범구를 조성하는 것을 지원하고 비치 스포츠, 수상 스포츠 등 야외 스포츠 프로젝트를 전개하는 것을 장려하며 절차에 따라 관련 수권(授權)을 전개한다. </w:t>
            </w:r>
            <w:r>
              <w:rPr>
                <w:rFonts w:ascii="Gulim" w:eastAsia="Gulim" w:hAnsi="Gulim" w:hint="eastAsia"/>
                <w:b/>
                <w:bCs/>
                <w:lang w:eastAsia="ko-KR"/>
              </w:rPr>
              <w:t>(주도기관 : 국가체육총국. 참여기관 : 국가발전개혁위원회•자연자원부)</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lang w:eastAsia="ko-KR"/>
              </w:rPr>
            </w:pPr>
            <w:r>
              <w:rPr>
                <w:rFonts w:ascii="Gulim" w:eastAsia="Gulim" w:hAnsi="Gulim" w:hint="eastAsia"/>
                <w:b/>
                <w:bCs/>
                <w:lang w:eastAsia="ko-KR"/>
              </w:rPr>
              <w:t>하이난(海南) 종자업 시장의 진입 규제를 완화하고 심사비준 절차를 간소화하여 종자업의 발전을 촉진시킨다.</w:t>
            </w:r>
            <w:r>
              <w:rPr>
                <w:rFonts w:ascii="Gulim" w:eastAsia="Gulim" w:hAnsi="Gulim" w:hint="eastAsia"/>
                <w:lang w:eastAsia="ko-KR"/>
              </w:rPr>
              <w:t xml:space="preserve"> 농작물•한약재 등 종자의 품질검사기관 자격 인증, 수출입 허가 등 심사비준 절차를 간소화하고 바이오농업 기술 연구•실험에 대한 심사비준 절차를 최적화•규범화하며 하이난(海南)성이 법에 의거하여 해외 기관•전문가와 연구개발 협력을 추진하는 것을 장려하고 해외 수입 농업•임업 우량 유전물질(種質)•묘목 등 번식재료의 관리방법과 보급•응용을 진일보 </w:t>
            </w:r>
            <w:r>
              <w:rPr>
                <w:rFonts w:ascii="Gulim" w:eastAsia="Gulim" w:hAnsi="Gulim" w:hint="eastAsia"/>
                <w:lang w:eastAsia="ko-KR"/>
              </w:rPr>
              <w:lastRenderedPageBreak/>
              <w:t xml:space="preserve">최적화한다. </w:t>
            </w:r>
            <w:r>
              <w:rPr>
                <w:rFonts w:ascii="Gulim" w:eastAsia="Gulim" w:hAnsi="Gulim" w:hint="eastAsia"/>
                <w:b/>
                <w:bCs/>
                <w:lang w:eastAsia="ko-KR"/>
              </w:rPr>
              <w:t xml:space="preserve">(주도기관 : 농업농촌부•국가임업초원국•해관총서가 직책에 따라 분담. 참여기관 : 상무부•시장감독관리총국•중국과학원•국가한의약관리국) </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b/>
                <w:bCs/>
                <w:lang w:eastAsia="ko-KR"/>
              </w:rPr>
            </w:pPr>
            <w:r>
              <w:rPr>
                <w:rFonts w:ascii="Gulim" w:eastAsia="Gulim" w:hAnsi="Gulim" w:hint="eastAsia"/>
                <w:b/>
                <w:bCs/>
                <w:lang w:eastAsia="ko-KR"/>
              </w:rPr>
              <w:t xml:space="preserve">하이난(海南)이 신에너지차 배터리 충전•교체 인프라 구축 및 운영을 통일적으로 계획하고 추진하는 것을 지원한다. </w:t>
            </w:r>
            <w:r>
              <w:rPr>
                <w:rFonts w:ascii="Gulim" w:eastAsia="Gulim" w:hAnsi="Gulim" w:hint="eastAsia"/>
                <w:lang w:eastAsia="ko-KR"/>
              </w:rPr>
              <w:t xml:space="preserve">하이난(海南)성이 신에너지차 배터리 충전•교체 인프라 구축 및 운영을 통일적으로 계획하고 추진하는 것을 지원하며 5G 융합 제품•서비스 시장의 진입 규제를 완화하고 차량-인프라 협력 기술 및 자율주행 기술의 응용을 추진한다. 간선도로 연선 휴계소의 신에너지차 배터리 고속충전•교체 시설 분포를 중점적으로 가속화 추진하고 도시지역•산업단지•풍치지구(景區)•공공주차장의 신에너지차 배터리 충전•교체 시설 구축 사업을 추진하며 프로젝트 보고•신고 절차와 건설•소방설계 심사 및 준공검수 등 방면의 심사비준 절차를 간소화하고 무형의 시장 진입 장벽을 타파한다. 관련 기업이 신에너지차 배터리 충전•교체 사업을 중심으로 비지니스 모델 혁신 시범사업을 전개하는 것을 장려하며 포용적•혁신적인 건전성 감독 제도를 모색한다. 송전망 운영업체, 신에너지차 제조업체, 배터리 제조•운영업체, 교통•부동산•부동산관리 등 관련 분야의 기업이 시장화 방식에 따라 투자건설운영회사를 설립하는 것을 지원하고 유도하며 혁신적인 방식으로 다양한 협력 사업을 전개하는 것을 장려함으로써 하이난(海南)섬 내 ‘통합 네트워크(一張網)’ 운영 모델을 수립한다. </w:t>
            </w:r>
            <w:r>
              <w:rPr>
                <w:rFonts w:ascii="Gulim" w:eastAsia="Gulim" w:hAnsi="Gulim" w:hint="eastAsia"/>
                <w:b/>
                <w:bCs/>
                <w:lang w:eastAsia="ko-KR"/>
              </w:rPr>
              <w:t>(주도기</w:t>
            </w:r>
            <w:r>
              <w:rPr>
                <w:rFonts w:ascii="Gulim" w:eastAsia="Gulim" w:hAnsi="Gulim" w:hint="eastAsia"/>
                <w:b/>
                <w:bCs/>
                <w:lang w:eastAsia="ko-KR"/>
              </w:rPr>
              <w:lastRenderedPageBreak/>
              <w:t>관 : 국가발전개혁위원회•국가에너지국. 참여기관 : 공업정보화부•자연자원부•주택도농건설부•국무원국유자산감독관리위원회)</w:t>
            </w:r>
          </w:p>
          <w:p w:rsidR="00860E70" w:rsidRDefault="00860E70" w:rsidP="00860E70">
            <w:pPr>
              <w:pStyle w:val="a4"/>
              <w:numPr>
                <w:ilvl w:val="0"/>
                <w:numId w:val="33"/>
              </w:numPr>
              <w:wordWrap w:val="0"/>
              <w:topLinePunct/>
              <w:snapToGrid w:val="0"/>
              <w:spacing w:line="360" w:lineRule="auto"/>
              <w:ind w:firstLineChars="0"/>
              <w:rPr>
                <w:rFonts w:ascii="Gulim" w:eastAsia="Gulim" w:hAnsi="Gulim" w:hint="eastAsia"/>
                <w:lang w:eastAsia="ko-KR"/>
              </w:rPr>
            </w:pPr>
            <w:r>
              <w:rPr>
                <w:rFonts w:ascii="Gulim" w:eastAsia="Gulim" w:hAnsi="Gulim" w:hint="eastAsia"/>
                <w:b/>
                <w:bCs/>
                <w:lang w:eastAsia="ko-KR"/>
              </w:rPr>
              <w:t>진입 환경을 최적화하여 농촌관광 및 레저농업 혁신발전 시범사업을 전개한다.</w:t>
            </w:r>
            <w:r>
              <w:rPr>
                <w:rFonts w:ascii="Gulim" w:eastAsia="Gulim" w:hAnsi="Gulim" w:hint="eastAsia"/>
                <w:lang w:eastAsia="ko-KR"/>
              </w:rPr>
              <w:t xml:space="preserve"> 하이난(海南)성 내 일부 지역을 선정하여 농촌 부동산 등기 데이터를 공유하고 시역(市域) 또는 현역(縣域)을 단위로 농촌관광 시장 진입 시범사업을 전개한다. 유관 지방 인민정부는 시범지역 내 농촌관광 및 레저농업을 전개하기에 적합한 향(鄕)•진(鎭)과 행정촌에 대한 전체적인 평가를 실시하고 농촌토지의 농민집체소유를 유지하는 전제하에 시장화 원칙에 따라 농촌관광자산운영회사를 설립한다. 평등한 협상 및 합의를 토대로 민박•농쟈러(農家樂/농가체험) 등 농촌관광 사업을 전개하기에 적합한 자산의 장기임대•연합경영•출자 등 합법적인 방식으로 운영회사와 업무 제휴를 전개하는 것을 지원한다. 유휴 농가•택지의 민박•농쟈러(農家樂/농가체험) 전환을 적극적으로 추진하고 민박•농쟈러(農家樂/농가체험)를 관련 발전규획에 편입시켜 통일적으로 고려하며 관련 산업 및 농촌건설 사업과의 상호작용과 균형적•유기적 발전을 중요시한다. 하이난(海南)성 내 농쟈러(農家樂/농가체험) 서비스 품질 기준을 통합하고 민박 서비스 기준을 통합하며 농촌민박주관부서가 통일적으로 정보관리 플랫폼을 규획하고 통일적으로 능력평가와 운영 감독관리를 실시한다. 농민의 이익을 확실하게 보호하고 농촌을 풍치지구(景區)로 전환하는 ‘단칼에 자</w:t>
            </w:r>
            <w:r>
              <w:rPr>
                <w:rFonts w:ascii="Gulim" w:eastAsia="Gulim" w:hAnsi="Gulim" w:hint="eastAsia"/>
                <w:lang w:eastAsia="ko-KR"/>
              </w:rPr>
              <w:lastRenderedPageBreak/>
              <w:t xml:space="preserve">르기(一刀切)’식의 전체 개발 모델을 철저히 근절시키며 투자자•운영자•집체경제조직•농가 등 각 당사자의 이익을 충분히 고려하여 현지 실정에 알맞는 구체적 시범방안을 제정하고 집체경제조직 및 농가가 임대료, 경영 참여, 이익배당 등 다양한 방식으로 수익을 획득하는 것을 지원한다. 각종 금융기관이 시장화 원칙에 따라 조건을 만족시키는 운영회사에게 금융지원을 제공하는 것을 장려하며 농촌관광의 품질을 전면 개선하고 농민의 소득을 증가시킨다. 보험기관이 재산보험 상품을 개발하고 농촌관광 산업을 위하여 리스크 보장을 제공하는 것을 장려한다. 은행기관이 리스크 통제 가능, 사업 지속 가능의 원칙에 따라 농촌관광 산업에 대한 지원을 확대하고 업무 절차를 최적화하며 서비스 효율을 개선하도록 유도한다. </w:t>
            </w:r>
            <w:r>
              <w:rPr>
                <w:rFonts w:ascii="Gulim" w:eastAsia="Gulim" w:hAnsi="Gulim" w:hint="eastAsia"/>
                <w:b/>
                <w:bCs/>
                <w:lang w:eastAsia="ko-KR"/>
              </w:rPr>
              <w:t>(주도기관 : 농업농촌부•문화관광부•국가발전개혁위원회가 직책에 따라 분담. 참여기관 : 자연자원부•도농주택건설부•은행보험감독관리위원회)</w:t>
            </w:r>
            <w:r>
              <w:rPr>
                <w:rFonts w:ascii="Gulim" w:eastAsia="Gulim" w:hAnsi="Gulim" w:hint="eastAsia"/>
                <w:lang w:eastAsia="ko-KR"/>
              </w:rPr>
              <w:t xml:space="preserve"> </w:t>
            </w:r>
          </w:p>
          <w:p w:rsidR="00860E70" w:rsidRDefault="00860E70" w:rsidP="00860E70">
            <w:pPr>
              <w:topLinePunct/>
              <w:snapToGrid w:val="0"/>
              <w:spacing w:line="360" w:lineRule="auto"/>
              <w:rPr>
                <w:rFonts w:ascii="Gulim" w:eastAsia="Gulim" w:hAnsi="Gulim" w:hint="eastAsia"/>
                <w:szCs w:val="21"/>
                <w:lang w:eastAsia="ko-KR"/>
              </w:rPr>
            </w:pPr>
          </w:p>
          <w:p w:rsidR="00860E70" w:rsidRDefault="00860E70" w:rsidP="00860E70">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이 의견에 나열된 조치는 하이난(海南)성이 각 부서•기관과 회동하여 구체적으로 실시하며 현행 법률 또는 행정법규에 대한 조정이 필요한 경우 일절 전국인민대표대회 및 그 상무위원회 또는 국무원으로부터 권한을 부여받은 후 실시한다. 각 부서•기관은 이 의견을 고도로 중요시하고 직책에 따라 업무를 분담하며 주동적으로 실행하고 적극적으로 지원하며 한 마음 한 뜻으로 협력하여야 한다. 하이난(海南)성은 주체로서의 역할을 충분히 발휘하여야 하며 조직•</w:t>
            </w:r>
            <w:r>
              <w:rPr>
                <w:rFonts w:ascii="Gulim" w:eastAsia="Gulim" w:hAnsi="Gulim" w:hint="eastAsia"/>
                <w:szCs w:val="21"/>
                <w:lang w:eastAsia="ko-KR"/>
              </w:rPr>
              <w:lastRenderedPageBreak/>
              <w:t xml:space="preserve">지도 강화 및 면밀한 계획을 통해 실질적인 성과를 창출하여야 한다. 국가발전개혁위원회•상무부는 유관부서와 회동하여 조율과 독촉 검사를 강화하며 중대 사안은 적시적으로 당중앙•국무원에 보고한다. </w:t>
            </w:r>
          </w:p>
          <w:p w:rsidR="00860E70" w:rsidRDefault="00860E70" w:rsidP="00860E70">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 xml:space="preserve">   </w:t>
            </w:r>
          </w:p>
          <w:p w:rsidR="00860E70" w:rsidRDefault="00860E70" w:rsidP="00860E70">
            <w:pPr>
              <w:wordWrap w:val="0"/>
              <w:topLinePunct/>
              <w:snapToGrid w:val="0"/>
              <w:spacing w:line="360" w:lineRule="auto"/>
              <w:jc w:val="right"/>
              <w:rPr>
                <w:rFonts w:ascii="Gulim" w:eastAsia="Gulim" w:hAnsi="Gulim" w:hint="eastAsia"/>
                <w:szCs w:val="21"/>
                <w:lang w:eastAsia="ko-KR"/>
              </w:rPr>
            </w:pPr>
            <w:r>
              <w:rPr>
                <w:rFonts w:ascii="Gulim" w:eastAsia="Gulim" w:hAnsi="Gulim" w:cs="Batang" w:hint="eastAsia"/>
                <w:szCs w:val="21"/>
                <w:lang w:eastAsia="ko-KR"/>
              </w:rPr>
              <w:t>국가발전개혁위원회</w:t>
            </w:r>
          </w:p>
          <w:p w:rsidR="00860E70" w:rsidRDefault="00860E70" w:rsidP="00860E70">
            <w:pPr>
              <w:wordWrap w:val="0"/>
              <w:topLinePunct/>
              <w:snapToGrid w:val="0"/>
              <w:spacing w:line="360" w:lineRule="auto"/>
              <w:jc w:val="right"/>
              <w:rPr>
                <w:rFonts w:ascii="Gulim" w:eastAsia="Gulim" w:hAnsi="Gulim" w:cs="Batang" w:hint="eastAsia"/>
                <w:szCs w:val="21"/>
                <w:lang w:eastAsia="ko-KR"/>
              </w:rPr>
            </w:pPr>
            <w:r>
              <w:rPr>
                <w:rFonts w:ascii="Gulim" w:eastAsia="Gulim" w:hAnsi="Gulim" w:cs="Batang" w:hint="eastAsia"/>
                <w:szCs w:val="21"/>
                <w:lang w:eastAsia="ko-KR"/>
              </w:rPr>
              <w:t>상무부</w:t>
            </w:r>
          </w:p>
          <w:p w:rsidR="00860E70" w:rsidRDefault="00860E70" w:rsidP="00860E70">
            <w:pPr>
              <w:wordWrap w:val="0"/>
              <w:topLinePunct/>
              <w:snapToGrid w:val="0"/>
              <w:spacing w:line="360" w:lineRule="auto"/>
              <w:jc w:val="right"/>
              <w:rPr>
                <w:rFonts w:ascii="Gulim" w:eastAsia="Gulim" w:hAnsi="Gulim" w:cs="Batang" w:hint="eastAsia"/>
                <w:szCs w:val="21"/>
                <w:lang w:eastAsia="ko-KR"/>
              </w:rPr>
            </w:pPr>
            <w:r>
              <w:rPr>
                <w:rFonts w:ascii="Gulim" w:eastAsia="Gulim" w:hAnsi="Gulim" w:hint="eastAsia"/>
                <w:szCs w:val="21"/>
              </w:rPr>
              <w:t>2021</w:t>
            </w:r>
            <w:r>
              <w:rPr>
                <w:rFonts w:ascii="Gulim" w:eastAsia="Gulim" w:hAnsi="Gulim" w:cs="Batang" w:hint="eastAsia"/>
                <w:szCs w:val="21"/>
                <w:lang w:eastAsia="ko-KR"/>
              </w:rPr>
              <w:t xml:space="preserve">년 </w:t>
            </w:r>
            <w:r>
              <w:rPr>
                <w:rFonts w:ascii="Gulim" w:eastAsia="Gulim" w:hAnsi="Gulim" w:hint="eastAsia"/>
                <w:szCs w:val="21"/>
              </w:rPr>
              <w:t>4</w:t>
            </w:r>
            <w:r>
              <w:rPr>
                <w:rFonts w:ascii="Gulim" w:eastAsia="Gulim" w:hAnsi="Gulim" w:cs="Batang" w:hint="eastAsia"/>
                <w:szCs w:val="21"/>
                <w:lang w:eastAsia="ko-KR"/>
              </w:rPr>
              <w:t xml:space="preserve">월 </w:t>
            </w:r>
            <w:r>
              <w:rPr>
                <w:rFonts w:ascii="Gulim" w:eastAsia="Gulim" w:hAnsi="Gulim" w:hint="eastAsia"/>
                <w:szCs w:val="21"/>
              </w:rPr>
              <w:t>7</w:t>
            </w:r>
            <w:r>
              <w:rPr>
                <w:rFonts w:ascii="Gulim" w:eastAsia="Gulim" w:hAnsi="Gulim" w:cs="Batang" w:hint="eastAsia"/>
                <w:szCs w:val="21"/>
                <w:lang w:eastAsia="ko-KR"/>
              </w:rPr>
              <w:t>일</w:t>
            </w:r>
          </w:p>
          <w:p w:rsidR="00DB5008" w:rsidRPr="00E27A28" w:rsidRDefault="00DB5008" w:rsidP="00D4574E">
            <w:pPr>
              <w:wordWrap w:val="0"/>
              <w:topLinePunct/>
              <w:snapToGrid w:val="0"/>
              <w:spacing w:line="360" w:lineRule="auto"/>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860E70" w:rsidRPr="00860E70" w:rsidRDefault="00860E70" w:rsidP="00860E70">
            <w:pPr>
              <w:snapToGrid w:val="0"/>
              <w:spacing w:line="360" w:lineRule="auto"/>
              <w:jc w:val="center"/>
              <w:rPr>
                <w:rFonts w:ascii="宋体" w:eastAsia="宋体" w:hAnsi="宋体"/>
                <w:b/>
                <w:bCs/>
                <w:sz w:val="26"/>
                <w:szCs w:val="26"/>
              </w:rPr>
            </w:pPr>
            <w:r w:rsidRPr="00860E70">
              <w:rPr>
                <w:rFonts w:ascii="宋体" w:eastAsia="宋体" w:hAnsi="宋体" w:hint="eastAsia"/>
                <w:b/>
                <w:bCs/>
                <w:sz w:val="26"/>
                <w:szCs w:val="26"/>
              </w:rPr>
              <w:t>国家发展改革委、商务部</w:t>
            </w:r>
          </w:p>
          <w:p w:rsidR="00860E70" w:rsidRPr="00860E70" w:rsidRDefault="00860E70" w:rsidP="00860E70">
            <w:pPr>
              <w:snapToGrid w:val="0"/>
              <w:spacing w:line="360" w:lineRule="auto"/>
              <w:jc w:val="center"/>
              <w:rPr>
                <w:rFonts w:ascii="宋体" w:eastAsia="宋体" w:hAnsi="宋体" w:hint="eastAsia"/>
                <w:b/>
                <w:bCs/>
                <w:sz w:val="26"/>
                <w:szCs w:val="26"/>
              </w:rPr>
            </w:pPr>
            <w:r w:rsidRPr="00860E70">
              <w:rPr>
                <w:rFonts w:ascii="宋体" w:eastAsia="宋体" w:hAnsi="宋体" w:hint="eastAsia"/>
                <w:b/>
                <w:bCs/>
                <w:sz w:val="26"/>
                <w:szCs w:val="26"/>
              </w:rPr>
              <w:t>关于支持海南自由贸易港建设放宽市场准入</w:t>
            </w:r>
          </w:p>
          <w:p w:rsidR="00860E70" w:rsidRPr="00860E70" w:rsidRDefault="00860E70" w:rsidP="00860E70">
            <w:pPr>
              <w:snapToGrid w:val="0"/>
              <w:spacing w:line="360" w:lineRule="auto"/>
              <w:jc w:val="center"/>
              <w:rPr>
                <w:rFonts w:ascii="宋体" w:eastAsia="宋体" w:hAnsi="宋体" w:hint="eastAsia"/>
                <w:b/>
                <w:bCs/>
                <w:sz w:val="26"/>
                <w:szCs w:val="26"/>
              </w:rPr>
            </w:pPr>
            <w:r w:rsidRPr="00860E70">
              <w:rPr>
                <w:rFonts w:ascii="宋体" w:eastAsia="宋体" w:hAnsi="宋体" w:hint="eastAsia"/>
                <w:b/>
                <w:bCs/>
                <w:sz w:val="26"/>
                <w:szCs w:val="26"/>
              </w:rPr>
              <w:t>若干特别措施的意见</w:t>
            </w:r>
          </w:p>
          <w:p w:rsidR="00860E70" w:rsidRDefault="00860E70" w:rsidP="00860E70">
            <w:pPr>
              <w:snapToGrid w:val="0"/>
              <w:spacing w:line="360" w:lineRule="auto"/>
              <w:jc w:val="center"/>
              <w:rPr>
                <w:rFonts w:ascii="宋体" w:eastAsia="宋体" w:hAnsi="宋体" w:hint="eastAsia"/>
              </w:rPr>
            </w:pPr>
            <w:r>
              <w:rPr>
                <w:rFonts w:ascii="宋体" w:eastAsia="宋体" w:hAnsi="宋体" w:hint="eastAsia"/>
              </w:rPr>
              <w:t>发改体改〔2021〕479号</w:t>
            </w:r>
          </w:p>
          <w:p w:rsidR="00860E70" w:rsidRDefault="00860E70" w:rsidP="00860E70">
            <w:pPr>
              <w:snapToGrid w:val="0"/>
              <w:spacing w:line="360" w:lineRule="auto"/>
              <w:rPr>
                <w:rFonts w:ascii="宋体" w:eastAsia="宋体" w:hAnsi="宋体" w:hint="eastAsia"/>
              </w:rPr>
            </w:pPr>
          </w:p>
          <w:p w:rsidR="00860E70" w:rsidRDefault="00860E70" w:rsidP="00860E70">
            <w:pPr>
              <w:snapToGrid w:val="0"/>
              <w:spacing w:line="360" w:lineRule="auto"/>
              <w:rPr>
                <w:rFonts w:ascii="宋体" w:eastAsia="宋体" w:hAnsi="宋体" w:hint="eastAsia"/>
              </w:rPr>
            </w:pPr>
          </w:p>
          <w:p w:rsidR="00860E70" w:rsidRDefault="00860E70" w:rsidP="00860E70">
            <w:pPr>
              <w:snapToGrid w:val="0"/>
              <w:spacing w:line="360" w:lineRule="auto"/>
              <w:rPr>
                <w:rFonts w:ascii="宋体" w:eastAsia="宋体" w:hAnsi="宋体" w:hint="eastAsia"/>
              </w:rPr>
            </w:pPr>
            <w:r>
              <w:rPr>
                <w:rFonts w:ascii="宋体" w:eastAsia="宋体" w:hAnsi="宋体" w:hint="eastAsia"/>
              </w:rPr>
              <w:t>海南省人民政府，国务院有关部委、有关直属机构：</w:t>
            </w:r>
          </w:p>
          <w:p w:rsidR="00860E70" w:rsidRDefault="00860E70" w:rsidP="00860E70">
            <w:pPr>
              <w:snapToGrid w:val="0"/>
              <w:spacing w:line="360" w:lineRule="auto"/>
              <w:rPr>
                <w:rFonts w:ascii="宋体" w:eastAsia="宋体" w:hAnsi="宋体" w:hint="eastAsia"/>
              </w:rPr>
            </w:pPr>
            <w:r>
              <w:rPr>
                <w:rFonts w:ascii="宋体" w:eastAsia="宋体" w:hAnsi="宋体" w:hint="eastAsia"/>
              </w:rPr>
              <w:t> </w:t>
            </w:r>
            <w:r>
              <w:rPr>
                <w:rFonts w:ascii="宋体" w:eastAsia="宋体" w:hAnsi="宋体" w:hint="eastAsia"/>
              </w:rPr>
              <w:t> </w:t>
            </w:r>
            <w:r>
              <w:rPr>
                <w:rFonts w:ascii="宋体" w:eastAsia="宋体" w:hAnsi="宋体" w:hint="eastAsia"/>
              </w:rPr>
              <w:t xml:space="preserve">  按照《海南自由贸易港建设总体方案》要求，为进一步支持海南打造具有中国特色的自由贸易港市场准入体系和市场环境，促进生产要素自由便利流动，加快培育国际比较优势产业，高质量高标准建设自由贸易港，经党中央、国务院同意，现提出意见如下。</w:t>
            </w:r>
          </w:p>
          <w:p w:rsidR="00860E70" w:rsidRDefault="00860E70" w:rsidP="00860E70">
            <w:pPr>
              <w:snapToGrid w:val="0"/>
              <w:spacing w:line="360" w:lineRule="auto"/>
              <w:rPr>
                <w:rFonts w:ascii="宋体" w:hAnsi="宋体" w:hint="eastAsia"/>
                <w:lang w:eastAsia="ko-KR"/>
              </w:rPr>
            </w:pPr>
          </w:p>
          <w:p w:rsidR="00860E70" w:rsidRPr="00860E70" w:rsidRDefault="00860E70" w:rsidP="00860E70">
            <w:pPr>
              <w:snapToGrid w:val="0"/>
              <w:spacing w:line="360" w:lineRule="auto"/>
              <w:rPr>
                <w:rFonts w:ascii="宋体" w:hAnsi="宋体" w:hint="eastAsia"/>
                <w:lang w:eastAsia="ko-KR"/>
              </w:rPr>
            </w:pPr>
          </w:p>
          <w:p w:rsidR="00860E70" w:rsidRDefault="00860E70" w:rsidP="00860E70">
            <w:pPr>
              <w:snapToGrid w:val="0"/>
              <w:spacing w:line="360" w:lineRule="auto"/>
              <w:ind w:firstLineChars="100" w:firstLine="211"/>
              <w:rPr>
                <w:rFonts w:ascii="宋体" w:eastAsia="宋体" w:hAnsi="宋体" w:hint="eastAsia"/>
                <w:b/>
                <w:bCs/>
              </w:rPr>
            </w:pPr>
            <w:r>
              <w:rPr>
                <w:rFonts w:ascii="宋体" w:eastAsia="宋体" w:hAnsi="宋体" w:hint="eastAsia"/>
                <w:b/>
                <w:bCs/>
              </w:rPr>
              <w:t> </w:t>
            </w:r>
            <w:r>
              <w:rPr>
                <w:rFonts w:ascii="宋体" w:eastAsia="宋体" w:hAnsi="宋体" w:hint="eastAsia"/>
                <w:b/>
                <w:bCs/>
              </w:rPr>
              <w:t> </w:t>
            </w:r>
            <w:r>
              <w:rPr>
                <w:rFonts w:ascii="宋体" w:eastAsia="宋体" w:hAnsi="宋体" w:hint="eastAsia"/>
                <w:b/>
                <w:bCs/>
              </w:rPr>
              <w:t>一、创新医药卫生领域市场准入方式</w:t>
            </w: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（一）支持开展互联网处方药销售。</w:t>
            </w:r>
            <w:r>
              <w:rPr>
                <w:rFonts w:ascii="宋体" w:eastAsia="宋体" w:hAnsi="宋体" w:hint="eastAsia"/>
              </w:rPr>
              <w:t>在博鳌乐城国际医疗旅游先行区（以下简称“乐城先行区”）建立海南电子处方中心（为处方药销售机构提供第三方信息服务），对于在国内上市销售的处方药，除国家药品管理法明确实行特殊管理的药品外，全部允许依托电子处方中心进行互联网销售，不再另行审批。海南电子处方中心对接互联网医院、海南医疗机构处方系统、各类处方药销售平台、医保信息平台与支付结算</w:t>
            </w:r>
            <w:r>
              <w:rPr>
                <w:rFonts w:ascii="宋体" w:eastAsia="宋体" w:hAnsi="宋体" w:hint="eastAsia"/>
              </w:rPr>
              <w:lastRenderedPageBreak/>
              <w:t>机构、商业类保险机构，实现处方相关信息统一归集及处方药购买、信息安全认证、医保结算等事项“一网通办”，海南电子处方中心及海南省相关部门要制定细化工作方案，强化对高风险药品管理，落实网络安全、信息安全、个人隐私保护等相关主体责任。利用区块链、量子信息等技术，实现线上线下联动监管、药品流向全程追溯、数据安全存储。</w:t>
            </w:r>
            <w:r>
              <w:rPr>
                <w:rFonts w:ascii="宋体" w:eastAsia="宋体" w:hAnsi="宋体" w:hint="eastAsia"/>
                <w:b/>
                <w:bCs/>
              </w:rPr>
              <w:t>（牵头单位：国家卫生健康委、国家药监局、国家发展改革委按职责分工负责；参加单位：国家医保局、银保监会、国家中医药局）</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（二）支持海南国产化高端医疗装备创新发展。</w:t>
            </w:r>
            <w:r>
              <w:rPr>
                <w:rFonts w:ascii="宋体" w:eastAsia="宋体" w:hAnsi="宋体" w:hint="eastAsia"/>
              </w:rPr>
              <w:t>鼓励高端医疗装备首台（套）在海南进行生产，对在海南落户生产的列入首台（套）重大技术装备推广应用指导目录或列入甲、乙类大型医用设备配置许可目录的国产大型医疗设备，按照国产设备首台（套）有关文件要求执行。</w:t>
            </w:r>
            <w:r>
              <w:rPr>
                <w:rFonts w:ascii="宋体" w:eastAsia="宋体" w:hAnsi="宋体" w:hint="eastAsia"/>
                <w:b/>
                <w:bCs/>
              </w:rPr>
              <w:t>（牵头单位：工业和信息化部、国家卫生健康委、国家药监局；参加单位：国家发展改革委）</w:t>
            </w: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（三）加大对药品市场准入支持。</w:t>
            </w:r>
            <w:r>
              <w:rPr>
                <w:rFonts w:ascii="宋体" w:eastAsia="宋体" w:hAnsi="宋体" w:hint="eastAsia"/>
              </w:rPr>
              <w:t>海南省人民政府优化药品（中药、化学药、生物制品）的研发、试验、生</w:t>
            </w:r>
            <w:r>
              <w:rPr>
                <w:rFonts w:ascii="宋体" w:eastAsia="宋体" w:hAnsi="宋体" w:hint="eastAsia"/>
              </w:rPr>
              <w:lastRenderedPageBreak/>
              <w:t>产、应用环境，鼓励国产高值医用耗材、国家创新药和中医药研发生产企业落户海南，完善海南新药研发融资配套体系，制定与药品上市许可持有人相匹配的新药研发支持制度，鼓励国内外药企和药品研制机构在海南开发各类创新药和改良型新药。按照规定支持落户乐城先行区的医疗机构开展临床试验。对注册地为海南的药企，在中国境内完成Ⅰ-Ⅲ期临床试验并获得上市许可的创新药，鼓励海南具备相应条件的医疗机构按照“随批随进”的原则直接使用，有关部门不得额外设置市场准入要求。</w:t>
            </w:r>
            <w:r>
              <w:rPr>
                <w:rFonts w:ascii="宋体" w:eastAsia="宋体" w:hAnsi="宋体" w:hint="eastAsia"/>
                <w:b/>
                <w:bCs/>
              </w:rPr>
              <w:t>（牵头单位：国家药监局、国家卫生健康委；参加单位：国家中医药局、海关总署）</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b/>
                <w:bCs/>
              </w:rPr>
              <w:t> </w:t>
            </w:r>
            <w:r>
              <w:rPr>
                <w:rFonts w:ascii="宋体" w:eastAsia="宋体" w:hAnsi="宋体" w:hint="eastAsia"/>
                <w:b/>
                <w:bCs/>
              </w:rPr>
              <w:t>（四）全面放宽合同研究组织（CRO）准入限制。</w:t>
            </w:r>
            <w:r>
              <w:rPr>
                <w:rFonts w:ascii="宋体" w:eastAsia="宋体" w:hAnsi="宋体" w:hint="eastAsia"/>
              </w:rPr>
              <w:t>海南省人民政府制定支持合同研究组织（CRO）落户海南发展的政策意见，支持在海南建立医药研究国际标准的区域伦理中心，鼓励海南医疗机构与合同研究组织合作，提升医疗机构临床试验技术能力和质量管理水平。优化完善医疗机构中药制剂审批和备案流程。按照安全性、有效性原则制定相关标准，在海南开展中药临床试验和上市后再评价试点。</w:t>
            </w:r>
            <w:r>
              <w:rPr>
                <w:rFonts w:ascii="宋体" w:eastAsia="宋体" w:hAnsi="宋体" w:hint="eastAsia"/>
                <w:b/>
                <w:bCs/>
              </w:rPr>
              <w:t>（牵头单位：国家药监局；参加单位：科技部、国家卫生健康委、国家中医药局）</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b/>
                <w:bCs/>
              </w:rPr>
              <w:t> </w:t>
            </w:r>
            <w:r>
              <w:rPr>
                <w:rFonts w:ascii="宋体" w:eastAsia="宋体" w:hAnsi="宋体" w:hint="eastAsia"/>
                <w:b/>
                <w:bCs/>
              </w:rPr>
              <w:t>（五）支持海南高端医美产业发展。</w:t>
            </w:r>
            <w:r>
              <w:rPr>
                <w:rFonts w:ascii="宋体" w:eastAsia="宋体" w:hAnsi="宋体" w:hint="eastAsia"/>
              </w:rPr>
              <w:t>鼓励知名美容医疗机构落户乐城先行区，在乐城先行区的美容医疗机构可批量使用在美国、欧盟、日本等国家或地区上市的医美产品，其中属于需在境内注册或备案的药品、医疗器械、化妆品，应依法注册或备案，乐城先行区可制定鼓励措施。海南省有关部门研究提出乐城先行区医美产业发展需要的进口药品、医疗器械、化妆品企业及产品清单，协助相关企业开展注册，国家药品监督管理部门予以支持。支持国外高水平医疗美容医生依法依规在海南短期行医，推动发展医疗美容旅游产业，支持引进、组织国际性、专业化的医美产业展会、峰会、论坛，规范医疗美容机构审批和监管。</w:t>
            </w:r>
            <w:r>
              <w:rPr>
                <w:rFonts w:ascii="宋体" w:eastAsia="宋体" w:hAnsi="宋体" w:hint="eastAsia"/>
                <w:b/>
                <w:bCs/>
              </w:rPr>
              <w:t>（牵头单位：国家卫生健康委、国家药监局；参加单位：商务部、文化和旅游部）</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lang w:eastAsia="ko-KR"/>
              </w:rPr>
            </w:pPr>
            <w:r>
              <w:rPr>
                <w:rFonts w:ascii="宋体" w:eastAsia="宋体" w:hAnsi="宋体" w:hint="eastAsia"/>
              </w:rPr>
              <w:t> </w:t>
            </w:r>
            <w:r>
              <w:rPr>
                <w:rFonts w:ascii="宋体" w:eastAsia="宋体" w:hAnsi="宋体" w:hint="eastAsia"/>
                <w:b/>
                <w:bCs/>
              </w:rPr>
              <w:t> </w:t>
            </w:r>
            <w:r>
              <w:rPr>
                <w:rFonts w:ascii="宋体" w:eastAsia="宋体" w:hAnsi="宋体" w:hint="eastAsia"/>
                <w:b/>
                <w:bCs/>
              </w:rPr>
              <w:t>（六）优化移植科学全领域准入和发展环境。</w:t>
            </w:r>
            <w:r>
              <w:rPr>
                <w:rFonts w:ascii="宋体" w:eastAsia="宋体" w:hAnsi="宋体" w:hint="eastAsia"/>
              </w:rPr>
              <w:t>汇聚各类优质资源，推动成立国际移植科学研究中心，按照国际</w:t>
            </w:r>
            <w:r>
              <w:rPr>
                <w:rFonts w:ascii="宋体" w:eastAsia="宋体" w:hAnsi="宋体" w:hint="eastAsia"/>
              </w:rPr>
              <w:lastRenderedPageBreak/>
              <w:t>领先标准加快建设组织库，不断完善相关制度和工作体系，推进生物再生材料研究成果在海南应用转化。优化移植领域各类新药、检验检测试剂、基因技术、医疗器械等准入环境，畅通研制、注册、生产、使用等市场准入环节，支持符合相应条件的相关产品，进入优先或创新审批程序。对社会资本办医疗机构和公立医疗机构在人体器官移植执业资格认定审批采取一致准入标准，一视同仁。在乐城先行区设立国际移植医疗康复诊疗中心，与各大医疗机构对接开展移植医疗康复诊疗。符合条件的移植医疗项目纳入医保支付范围，实现异地医保结算便利化。鼓励商业保险机构探索研究移植诊疗和康复相关保险业务。鼓励国内一流中医医疗机构在海南开设相关机构，开展移植学科中西医结合诊疗研究，推动康养结合。</w:t>
            </w:r>
            <w:r>
              <w:rPr>
                <w:rFonts w:ascii="宋体" w:eastAsia="宋体" w:hAnsi="宋体" w:hint="eastAsia"/>
                <w:b/>
                <w:bCs/>
              </w:rPr>
              <w:t>（牵头单位：国家卫生健康委、国家药监局；参加单位：科技部、国家医保局、国家中医药局、中科院）</w:t>
            </w:r>
            <w:r>
              <w:rPr>
                <w:rFonts w:ascii="宋体" w:eastAsia="宋体" w:hAnsi="宋体" w:hint="eastAsia"/>
              </w:rPr>
              <w:t xml:space="preserve"> </w:t>
            </w: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eastAsia="宋体" w:hAnsi="宋体" w:hint="eastAsia"/>
                <w:b/>
                <w:bCs/>
              </w:rPr>
            </w:pPr>
            <w:r>
              <w:rPr>
                <w:rFonts w:ascii="宋体" w:eastAsia="宋体" w:hAnsi="宋体" w:hint="eastAsia"/>
              </w:rPr>
              <w:t> </w:t>
            </w:r>
            <w:r>
              <w:rPr>
                <w:rFonts w:ascii="宋体" w:eastAsia="宋体" w:hAnsi="宋体" w:hint="eastAsia"/>
                <w:b/>
                <w:bCs/>
              </w:rPr>
              <w:t> </w:t>
            </w:r>
            <w:r>
              <w:rPr>
                <w:rFonts w:ascii="宋体" w:eastAsia="宋体" w:hAnsi="宋体" w:hint="eastAsia"/>
                <w:b/>
                <w:bCs/>
              </w:rPr>
              <w:t>（七）设立海南医疗健康产业发展混改基金。</w:t>
            </w:r>
            <w:r>
              <w:rPr>
                <w:rFonts w:ascii="宋体" w:eastAsia="宋体" w:hAnsi="宋体" w:hint="eastAsia"/>
              </w:rPr>
              <w:t>在国家发展改革委指导下，支持海南设立社会资本出资、市场</w:t>
            </w:r>
            <w:r>
              <w:rPr>
                <w:rFonts w:ascii="宋体" w:eastAsia="宋体" w:hAnsi="宋体" w:hint="eastAsia"/>
              </w:rPr>
              <w:lastRenderedPageBreak/>
              <w:t>化运作的医疗健康产业发展混改基金，支持相关产业落地发展。对混改基金支持的战略性重点企业上市、并购、重组等，证监会积极给予支持。</w:t>
            </w:r>
            <w:r>
              <w:rPr>
                <w:rFonts w:ascii="宋体" w:eastAsia="宋体" w:hAnsi="宋体" w:hint="eastAsia"/>
                <w:b/>
                <w:bCs/>
              </w:rPr>
              <w:t>（牵头单位：国家发展改革委；参加单位：证监会）</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1"/>
              <w:rPr>
                <w:rFonts w:ascii="宋体" w:eastAsia="宋体" w:hAnsi="宋体" w:hint="eastAsia"/>
                <w:b/>
                <w:bCs/>
              </w:rPr>
            </w:pPr>
            <w:r>
              <w:rPr>
                <w:rFonts w:ascii="宋体" w:eastAsia="宋体" w:hAnsi="宋体" w:hint="eastAsia"/>
                <w:b/>
                <w:bCs/>
              </w:rPr>
              <w:t> </w:t>
            </w:r>
            <w:r>
              <w:rPr>
                <w:rFonts w:ascii="宋体" w:eastAsia="宋体" w:hAnsi="宋体" w:hint="eastAsia"/>
                <w:b/>
                <w:bCs/>
              </w:rPr>
              <w:t> </w:t>
            </w:r>
            <w:r>
              <w:rPr>
                <w:rFonts w:ascii="宋体" w:eastAsia="宋体" w:hAnsi="宋体" w:hint="eastAsia"/>
                <w:b/>
                <w:bCs/>
              </w:rPr>
              <w:t>二、优化金融领域市场准入和发展环境</w:t>
            </w: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（八）支持证券、保险、基金等行业在海南发展。</w:t>
            </w:r>
            <w:r>
              <w:rPr>
                <w:rFonts w:ascii="宋体" w:eastAsia="宋体" w:hAnsi="宋体" w:hint="eastAsia"/>
              </w:rPr>
              <w:t>依法支持证券、基金等金融机构落户海南。鼓励发展医疗健康、长期护理等商业保险，支持多种形式养老金融发展。</w:t>
            </w:r>
            <w:r>
              <w:rPr>
                <w:rFonts w:ascii="宋体" w:eastAsia="宋体" w:hAnsi="宋体" w:hint="eastAsia"/>
                <w:b/>
                <w:bCs/>
              </w:rPr>
              <w:t>（牵头单位：人民银行、银保监会、证监会按职责分工负责；参加单位：国家发展改革委）</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eastAsia="宋体" w:hAnsi="宋体" w:hint="eastAsia"/>
                <w:b/>
                <w:bCs/>
              </w:rPr>
            </w:pPr>
            <w:r>
              <w:rPr>
                <w:rFonts w:ascii="宋体" w:eastAsia="宋体" w:hAnsi="宋体" w:hint="eastAsia"/>
              </w:rPr>
              <w:t> </w:t>
            </w:r>
            <w:r>
              <w:rPr>
                <w:rFonts w:ascii="宋体" w:eastAsia="宋体" w:hAnsi="宋体" w:hint="eastAsia"/>
              </w:rPr>
              <w:t> </w:t>
            </w:r>
            <w:r>
              <w:rPr>
                <w:rFonts w:ascii="宋体" w:eastAsia="宋体" w:hAnsi="宋体" w:hint="eastAsia"/>
                <w:b/>
                <w:bCs/>
              </w:rPr>
              <w:t>（九）加强数据信息共享，开展支持农业全产业链发展试点。</w:t>
            </w:r>
            <w:r>
              <w:rPr>
                <w:rFonts w:ascii="宋体" w:eastAsia="宋体" w:hAnsi="宋体" w:hint="eastAsia"/>
              </w:rPr>
              <w:t>选取海南省部分地区开展试点，利用地理信息系统（GIS）、卫星遥感技术、无人机信息采集技术等信息化手段获取的土地、农作物等农业全产业链数据，按市场化原则引入第三方机构，开展风险评估和信用评价。鼓励各类金融机构根据职能定位，按照农业发展需求和市场化原则，结合第三方评估评价信息，依法合规为农业全产业链建设提供金融支持，鼓励</w:t>
            </w:r>
            <w:r>
              <w:rPr>
                <w:rFonts w:ascii="宋体" w:eastAsia="宋体" w:hAnsi="宋体" w:hint="eastAsia"/>
              </w:rPr>
              <w:lastRenderedPageBreak/>
              <w:t>保险机构配套开展农业保险服务。鼓励海南省带动种植、养殖、渔业的生产、加工、流通、销售、体验等全产业链发展。支持海南省会同相关金融机构、第三方信息服务机构制定具体实施方案，充分发挥地方农垦集团资源整合和信息整合优势，形成科技信息和金融数据第三方机构参与，农垦集团、农业龙头企业、农户联动的发展格局。</w:t>
            </w:r>
            <w:r>
              <w:rPr>
                <w:rFonts w:ascii="宋体" w:eastAsia="宋体" w:hAnsi="宋体" w:hint="eastAsia"/>
                <w:b/>
                <w:bCs/>
              </w:rPr>
              <w:t>（牵头单位：农业农村部、国家发展改革委按职责分工负责；参加单位：财政部、自然资源部、银保监会）</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1"/>
              <w:rPr>
                <w:rFonts w:ascii="宋体" w:eastAsia="宋体" w:hAnsi="宋体" w:hint="eastAsia"/>
                <w:b/>
                <w:bCs/>
              </w:rPr>
            </w:pPr>
            <w:r>
              <w:rPr>
                <w:rFonts w:ascii="宋体" w:eastAsia="宋体" w:hAnsi="宋体" w:hint="eastAsia"/>
                <w:b/>
                <w:bCs/>
              </w:rPr>
              <w:t> </w:t>
            </w:r>
            <w:r>
              <w:rPr>
                <w:rFonts w:ascii="宋体" w:eastAsia="宋体" w:hAnsi="宋体" w:hint="eastAsia"/>
                <w:b/>
                <w:bCs/>
              </w:rPr>
              <w:t> </w:t>
            </w:r>
            <w:r>
              <w:rPr>
                <w:rFonts w:ascii="宋体" w:eastAsia="宋体" w:hAnsi="宋体" w:hint="eastAsia"/>
                <w:b/>
                <w:bCs/>
              </w:rPr>
              <w:t>三、促进文化领域准入放宽和繁荣发展</w:t>
            </w: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（十）支持建设海南国际文物艺术品交易中心。</w:t>
            </w:r>
            <w:r>
              <w:rPr>
                <w:rFonts w:ascii="宋体" w:eastAsia="宋体" w:hAnsi="宋体" w:hint="eastAsia"/>
              </w:rPr>
              <w:t>引入艺术品行业的展览、交易、拍卖等国际规则，组建中国海南国际文物艺术品交易中心，为“一带一路”沿线国家优秀艺术品和符合文物保护相关法律规定的可交易文物提供开放、专业、便捷、高效的国际化交易平台。鼓励国内外知名拍卖机构在交易中心开展业务。推动降低艺术品和可交易文物交易成本，形成国际交易成本比较优势。在通关便利、保税货物监管、</w:t>
            </w:r>
            <w:r>
              <w:rPr>
                <w:rFonts w:ascii="宋体" w:eastAsia="宋体" w:hAnsi="宋体" w:hint="eastAsia"/>
              </w:rPr>
              <w:lastRenderedPageBreak/>
              <w:t>仓储物流等方面给予政策支持。</w:t>
            </w:r>
            <w:r>
              <w:rPr>
                <w:rFonts w:ascii="宋体" w:eastAsia="宋体" w:hAnsi="宋体" w:hint="eastAsia"/>
                <w:b/>
                <w:bCs/>
              </w:rPr>
              <w:t>（牵头单位：中央宣传部、文化和旅游部、国家文物局、国家发展改革委按职责分工负责；参加单位：商务部、人民银行、国务院国资委、海关总署、国家外汇局）</w:t>
            </w: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（十一）鼓励文化演艺产业发展。</w:t>
            </w:r>
            <w:r>
              <w:rPr>
                <w:rFonts w:ascii="宋体" w:eastAsia="宋体" w:hAnsi="宋体" w:hint="eastAsia"/>
              </w:rPr>
              <w:t>支持开展“一带一路”文化交流合作，推动“一带一路”沿线国家乃至全球优质文化演艺行业的表演、创作、资本、科技等各类资源向海南聚集。落实具有国际竞争力的文化产业奖励扶持政策，鼓励5G、VR、AR等新技术率先应用，在规划、用地、用海、用能、金融、人才引进等方面进行系统性支持。优化营业性演出审批，创新事中事后监管方式，充分发挥演出行业协会作用，提高行业自律水平。优化对娱乐场所经营活动和对游戏游艺设备内容的审核。</w:t>
            </w:r>
            <w:r>
              <w:rPr>
                <w:rFonts w:ascii="宋体" w:eastAsia="宋体" w:hAnsi="宋体" w:hint="eastAsia"/>
                <w:b/>
                <w:bCs/>
              </w:rPr>
              <w:t>（牵头单位：文化和旅游部、中央宣传部；参加单位：国家发展改革委、科技部、工业和信息化部、民政部、人力资源社会保障部、自然资源部、市场监管总局、国家移民局）</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（十二）鼓励网络游戏产业发展。</w:t>
            </w:r>
            <w:r>
              <w:rPr>
                <w:rFonts w:ascii="宋体" w:eastAsia="宋体" w:hAnsi="宋体" w:hint="eastAsia"/>
              </w:rPr>
              <w:t>探索将国产网络游戏试点审批权下放海南，支持海南发展网络游戏产业。</w:t>
            </w:r>
            <w:r>
              <w:rPr>
                <w:rFonts w:ascii="宋体" w:eastAsia="宋体" w:hAnsi="宋体" w:hint="eastAsia"/>
                <w:b/>
                <w:bCs/>
              </w:rPr>
              <w:lastRenderedPageBreak/>
              <w:t>（牵头单位：中央宣传部）</w:t>
            </w: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eastAsia="宋体" w:hAnsi="宋体" w:hint="eastAsia"/>
                <w:b/>
                <w:bCs/>
              </w:rPr>
            </w:pPr>
            <w:r>
              <w:rPr>
                <w:rFonts w:ascii="宋体" w:eastAsia="宋体" w:hAnsi="宋体" w:hint="eastAsia"/>
              </w:rPr>
              <w:t> </w:t>
            </w:r>
            <w:r>
              <w:rPr>
                <w:rFonts w:ascii="宋体" w:eastAsia="宋体" w:hAnsi="宋体" w:hint="eastAsia"/>
              </w:rPr>
              <w:t> </w:t>
            </w:r>
            <w:r>
              <w:rPr>
                <w:rFonts w:ascii="宋体" w:eastAsia="宋体" w:hAnsi="宋体" w:hint="eastAsia"/>
                <w:b/>
                <w:bCs/>
              </w:rPr>
              <w:t>（十三）放宽文物行业领域准入。</w:t>
            </w:r>
            <w:r>
              <w:rPr>
                <w:rFonts w:ascii="宋体" w:eastAsia="宋体" w:hAnsi="宋体" w:hint="eastAsia"/>
              </w:rPr>
              <w:t>对海南文物商店设立审批实行告知承诺管理。支持设立市场化运营的文物修复、保护和鉴定研究机构。</w:t>
            </w:r>
            <w:r>
              <w:rPr>
                <w:rFonts w:ascii="宋体" w:eastAsia="宋体" w:hAnsi="宋体" w:hint="eastAsia"/>
                <w:b/>
                <w:bCs/>
              </w:rPr>
              <w:t>（牵头单位：国家文物局）</w:t>
            </w:r>
          </w:p>
          <w:p w:rsidR="00860E70" w:rsidRDefault="00860E70" w:rsidP="00860E70">
            <w:pPr>
              <w:snapToGrid w:val="0"/>
              <w:spacing w:line="360" w:lineRule="auto"/>
              <w:ind w:firstLineChars="100" w:firstLine="210"/>
              <w:rPr>
                <w:rFonts w:ascii="宋体" w:hAnsi="宋体" w:hint="eastAsia"/>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1"/>
              <w:rPr>
                <w:rFonts w:ascii="宋体" w:eastAsia="宋体" w:hAnsi="宋体" w:hint="eastAsia"/>
                <w:b/>
                <w:bCs/>
              </w:rPr>
            </w:pPr>
            <w:r>
              <w:rPr>
                <w:rFonts w:ascii="宋体" w:eastAsia="宋体" w:hAnsi="宋体" w:hint="eastAsia"/>
                <w:b/>
                <w:bCs/>
              </w:rPr>
              <w:t> </w:t>
            </w:r>
            <w:r>
              <w:rPr>
                <w:rFonts w:ascii="宋体" w:eastAsia="宋体" w:hAnsi="宋体" w:hint="eastAsia"/>
                <w:b/>
                <w:bCs/>
              </w:rPr>
              <w:t> </w:t>
            </w:r>
            <w:r>
              <w:rPr>
                <w:rFonts w:ascii="宋体" w:eastAsia="宋体" w:hAnsi="宋体" w:hint="eastAsia"/>
                <w:b/>
                <w:bCs/>
              </w:rPr>
              <w:t>四、推动教育领域准入放宽和资源汇聚</w:t>
            </w: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（十四）鼓励高校在海南进行科研成果转化。</w:t>
            </w:r>
            <w:r>
              <w:rPr>
                <w:rFonts w:ascii="宋体" w:eastAsia="宋体" w:hAnsi="宋体" w:hint="eastAsia"/>
              </w:rPr>
              <w:t>支持海南在陵水国际教育先行区、乐城先行区等重点开发区域设立高校生物医药、电子信息、计算机及大数据、人工智能、海洋科学等各类科研成果转化基地，鼓励高校科研人员按照国家有关规定在海南创业、兼职、开展科研成果转化。鼓励高校在保障正常运转和事业发展的前提下，参与符合国家战略的产业投资基金，通过转让许可、作价入股等方式，促进科研成果转化。</w:t>
            </w:r>
            <w:r>
              <w:rPr>
                <w:rFonts w:ascii="宋体" w:eastAsia="宋体" w:hAnsi="宋体" w:hint="eastAsia"/>
                <w:b/>
                <w:bCs/>
              </w:rPr>
              <w:t>（牵头单位：教育部、科技部；参加单位：国家发展改革委、财政部、人力资源社会保障部）</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b/>
                <w:bCs/>
              </w:rPr>
              <w:t> </w:t>
            </w:r>
            <w:r>
              <w:rPr>
                <w:rFonts w:ascii="宋体" w:eastAsia="宋体" w:hAnsi="宋体" w:hint="eastAsia"/>
                <w:b/>
                <w:bCs/>
              </w:rPr>
              <w:t>（十五）支持国内知名高校在海南建立国际学院。</w:t>
            </w:r>
            <w:r>
              <w:rPr>
                <w:rFonts w:ascii="宋体" w:eastAsia="宋体" w:hAnsi="宋体" w:hint="eastAsia"/>
              </w:rPr>
              <w:t>支持国内知名高校在海南陵水国际教育先行区或三亚等具备较好办学条件的地区设立国际学院，服</w:t>
            </w:r>
            <w:r>
              <w:rPr>
                <w:rFonts w:ascii="宋体" w:eastAsia="宋体" w:hAnsi="宋体" w:hint="eastAsia"/>
              </w:rPr>
              <w:lastRenderedPageBreak/>
              <w:t>务“一带一路”建设。国际学院实行小规模办学，开展高质量本科教育，学科专业设置以基础科学和应用技术理工学科专业为主，中科院有关院所对口支持学院建设，鼓励创新方式与国际知名高校开展办学合作和学术交流。初期招生规模每年300—500人，招生以国际学生为主。国际学生主要接收“一带一路”沿线国家优秀高中毕业生和大学一年级学生申请，公平择优录取。教育部通过中国政府奖学金等方式对海南省有关高校高质量来华留学项目予以积极支持。中科院等有关单位会同海南省制定具体建设方案，按程序报批后实施。</w:t>
            </w:r>
            <w:r>
              <w:rPr>
                <w:rFonts w:ascii="宋体" w:eastAsia="宋体" w:hAnsi="宋体" w:hint="eastAsia"/>
                <w:b/>
                <w:bCs/>
              </w:rPr>
              <w:t>（牵头单位：中科院、教育部；参加单位：国家发展改革委、外交部、国家移民局）</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（十六）鼓励海南大力发展职业教育。</w:t>
            </w:r>
            <w:r>
              <w:rPr>
                <w:rFonts w:ascii="宋体" w:eastAsia="宋体" w:hAnsi="宋体" w:hint="eastAsia"/>
              </w:rPr>
              <w:t>完善职业教育和培训体系，深化产教融合、校企合作，鼓励社会力量通过独资、合资、合作等多种形式举办职业教育。支持海南建设服务国家区域发展战略的职业技能公共实训基地。鼓励海南大力发展医疗、康养、文化演艺、</w:t>
            </w:r>
            <w:r>
              <w:rPr>
                <w:rFonts w:ascii="宋体" w:eastAsia="宋体" w:hAnsi="宋体" w:hint="eastAsia"/>
              </w:rPr>
              <w:lastRenderedPageBreak/>
              <w:t>文物修复和鉴定等领域职业教育，对仅实施职业技能培训的民办学校的设立、变更和终止审批以及技工学校设立审批，实行告知承诺管理。</w:t>
            </w:r>
            <w:r>
              <w:rPr>
                <w:rFonts w:ascii="宋体" w:eastAsia="宋体" w:hAnsi="宋体" w:hint="eastAsia"/>
                <w:b/>
                <w:bCs/>
              </w:rPr>
              <w:t>（牵头单位：教育部、人力资源社会保障部、国家发展改革委）</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1"/>
              <w:rPr>
                <w:rFonts w:ascii="宋体" w:eastAsia="宋体" w:hAnsi="宋体" w:hint="eastAsia"/>
                <w:b/>
                <w:bCs/>
              </w:rPr>
            </w:pPr>
          </w:p>
          <w:p w:rsidR="00860E70" w:rsidRDefault="00860E70" w:rsidP="00860E70">
            <w:pPr>
              <w:snapToGrid w:val="0"/>
              <w:spacing w:line="360" w:lineRule="auto"/>
              <w:ind w:firstLineChars="100" w:firstLine="211"/>
              <w:rPr>
                <w:rFonts w:ascii="宋体" w:hAnsi="宋体" w:hint="eastAsia"/>
                <w:b/>
                <w:bCs/>
                <w:lang w:eastAsia="ko-KR"/>
              </w:rPr>
            </w:pPr>
            <w:r>
              <w:rPr>
                <w:rFonts w:ascii="宋体" w:eastAsia="宋体" w:hAnsi="宋体" w:hint="eastAsia"/>
                <w:b/>
                <w:bCs/>
              </w:rPr>
              <w:t> </w:t>
            </w:r>
            <w:r>
              <w:rPr>
                <w:rFonts w:ascii="宋体" w:eastAsia="宋体" w:hAnsi="宋体" w:hint="eastAsia"/>
                <w:b/>
                <w:bCs/>
              </w:rPr>
              <w:t> </w:t>
            </w:r>
            <w:r>
              <w:rPr>
                <w:rFonts w:ascii="宋体" w:eastAsia="宋体" w:hAnsi="宋体" w:hint="eastAsia"/>
                <w:b/>
                <w:bCs/>
              </w:rPr>
              <w:t>五、放宽其他重点领域市场准入</w:t>
            </w: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b/>
                <w:bCs/>
              </w:rPr>
              <w:t> </w:t>
            </w:r>
            <w:r>
              <w:rPr>
                <w:rFonts w:ascii="宋体" w:eastAsia="宋体" w:hAnsi="宋体" w:hint="eastAsia"/>
                <w:b/>
                <w:bCs/>
              </w:rPr>
              <w:t>（十七）优化海南商业航天领域市场准入环境，推动实现高质量发展。</w:t>
            </w:r>
            <w:r>
              <w:rPr>
                <w:rFonts w:ascii="宋体" w:eastAsia="宋体" w:hAnsi="宋体" w:hint="eastAsia"/>
              </w:rPr>
              <w:t>支持建设融合、开放的文昌航天发射场，打造国际一流、市场化运营的航天发射场系统，统筹建设相关测控系统、地面系统、应用系统，建立符合我国国际商业航天产业发展特点的建设管理运用模式。推动卫星遥感、北斗导航、卫星通信、量子卫星、芯片设计、运载火箭、测控等商业航天产业链落地海南。优化航天发射申报、航天发射场协调等事项办理程序，提升运载火箭、发动机及相关产品生产、储存、运输和试验等活动安全监管能力。支持在海南开展北斗导航国际应用示范。支持设立社会资本出资、市场化运作的商业航天发展混合所有制改革基金。鼓励保险机构在依法合规、风险可控的前提下，开展航天领域相关保险业务。支持商业卫星与载</w:t>
            </w:r>
            <w:r>
              <w:rPr>
                <w:rFonts w:ascii="宋体" w:eastAsia="宋体" w:hAnsi="宋体" w:hint="eastAsia"/>
              </w:rPr>
              <w:lastRenderedPageBreak/>
              <w:t>荷领域产学研用国际合作，鼓励开展卫星数据的国际协作开发应用与数据共享服务。优化商业航天领域技术研发、工程研制、系统运行、应用推广等领域的国际合作审批程序。制定吸引国际商业航天领域高端人才与创新团队落户的特别优惠政策，建立国际交流与培训平台。</w:t>
            </w:r>
            <w:r>
              <w:rPr>
                <w:rFonts w:ascii="宋体" w:eastAsia="宋体" w:hAnsi="宋体" w:hint="eastAsia"/>
                <w:b/>
                <w:bCs/>
              </w:rPr>
              <w:t>（牵头单位：国防科工局、国家发展改革委等单位按职责分工负责；参加单位：科技部、工业和信息化部、自然资源部、交通运输部、商务部、银保监会）</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b/>
                <w:bCs/>
              </w:rPr>
              <w:t> </w:t>
            </w:r>
            <w:r>
              <w:rPr>
                <w:rFonts w:ascii="宋体" w:eastAsia="宋体" w:hAnsi="宋体" w:hint="eastAsia"/>
                <w:b/>
                <w:bCs/>
              </w:rPr>
              <w:t>（十八）放宽民用航空业准入。</w:t>
            </w:r>
            <w:r>
              <w:rPr>
                <w:rFonts w:ascii="宋体" w:eastAsia="宋体" w:hAnsi="宋体" w:hint="eastAsia"/>
              </w:rPr>
              <w:t>优化海南民用机场管理方式，优化民航安检设备使用许可，简化通用航空机场规划及报批建设审批流程。在通用航空领域，探索建立分级分类的人员资质管理机制与航空器适航技术标准体系，简化飞行训练中心、民用航空器驾驶员学校、飞行签派员培训机构审批流程，在符合安全技术要求的前提下最大限度降低准入门槛。支持5G民航安全通信、北斗、广播式自动监视等新技术在空中交</w:t>
            </w:r>
            <w:r>
              <w:rPr>
                <w:rFonts w:ascii="宋体" w:eastAsia="宋体" w:hAnsi="宋体" w:hint="eastAsia"/>
              </w:rPr>
              <w:lastRenderedPageBreak/>
              <w:t>通管理、飞行服务保障等领域应用。落实金融、财税、人才等政策支持，鼓励社会资本投资通用航空、航油保障、飞机维修服务等领域。</w:t>
            </w:r>
            <w:r>
              <w:rPr>
                <w:rFonts w:ascii="宋体" w:eastAsia="宋体" w:hAnsi="宋体" w:hint="eastAsia"/>
                <w:b/>
                <w:bCs/>
              </w:rPr>
              <w:t>（牵头单位：民航局、国家发展改革委；参加单位：工业和信息化部、财政部、人民银行、银保监会等单位）</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rPr>
              <w:t> </w:t>
            </w:r>
            <w:r>
              <w:rPr>
                <w:rFonts w:ascii="宋体" w:eastAsia="宋体" w:hAnsi="宋体" w:hint="eastAsia"/>
                <w:b/>
                <w:bCs/>
              </w:rPr>
              <w:t>（十九）放宽体育市场准入。</w:t>
            </w:r>
            <w:r>
              <w:rPr>
                <w:rFonts w:ascii="宋体" w:eastAsia="宋体" w:hAnsi="宋体" w:hint="eastAsia"/>
              </w:rPr>
              <w:t>支持在海南建设国家体育训练南方基地和省级体育中心。支持打造国家体育旅游示范区，鼓励开展沙滩运动、水上运动等户外项目，按程序开展相关授权。</w:t>
            </w:r>
            <w:r>
              <w:rPr>
                <w:rFonts w:ascii="宋体" w:eastAsia="宋体" w:hAnsi="宋体" w:hint="eastAsia"/>
                <w:b/>
                <w:bCs/>
              </w:rPr>
              <w:t>（牵头单位：体育总局；参加单位：国家发展改革委、自然资源部）</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b/>
                <w:bCs/>
                <w:lang w:eastAsia="ko-KR"/>
              </w:rPr>
            </w:pPr>
            <w:r>
              <w:rPr>
                <w:rFonts w:ascii="宋体" w:eastAsia="宋体" w:hAnsi="宋体" w:hint="eastAsia"/>
              </w:rPr>
              <w:t> </w:t>
            </w:r>
            <w:r>
              <w:rPr>
                <w:rFonts w:ascii="宋体" w:eastAsia="宋体" w:hAnsi="宋体" w:hint="eastAsia"/>
                <w:b/>
                <w:bCs/>
              </w:rPr>
              <w:t> </w:t>
            </w:r>
            <w:r>
              <w:rPr>
                <w:rFonts w:ascii="宋体" w:eastAsia="宋体" w:hAnsi="宋体" w:hint="eastAsia"/>
                <w:b/>
                <w:bCs/>
              </w:rPr>
              <w:t>（二十）放宽海南种业市场准入，简化审批促进种业发展。</w:t>
            </w:r>
            <w:r>
              <w:rPr>
                <w:rFonts w:ascii="宋体" w:eastAsia="宋体" w:hAnsi="宋体" w:hint="eastAsia"/>
              </w:rPr>
              <w:t>简化农作物、中药材等种子的质量检验机构资格认定、进出口许可等审批流程，优化与规范从事农业生物技术研究与试验的审批程序，鼓励海南省与境外机构、专家依法开展合作研究，进一步优化对海外引进农林业优异种质、苗木等繁殖材料的管理办法及推广应用。</w:t>
            </w:r>
            <w:r>
              <w:rPr>
                <w:rFonts w:ascii="宋体" w:eastAsia="宋体" w:hAnsi="宋体" w:hint="eastAsia"/>
                <w:b/>
                <w:bCs/>
              </w:rPr>
              <w:t>（牵头单位：农业农村部、国家林草局、海关总署按职责分工负责；参加单位：商务部、市</w:t>
            </w:r>
            <w:r>
              <w:rPr>
                <w:rFonts w:ascii="宋体" w:eastAsia="宋体" w:hAnsi="宋体" w:hint="eastAsia"/>
                <w:b/>
                <w:bCs/>
              </w:rPr>
              <w:lastRenderedPageBreak/>
              <w:t>场监管总局、中科院、国家中医药局）</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1"/>
              <w:rPr>
                <w:rFonts w:ascii="宋体" w:hAnsi="宋体" w:hint="eastAsia"/>
                <w:b/>
                <w:bCs/>
                <w:lang w:eastAsia="ko-KR"/>
              </w:rPr>
            </w:pPr>
            <w:r>
              <w:rPr>
                <w:rFonts w:ascii="宋体" w:eastAsia="宋体" w:hAnsi="宋体" w:hint="eastAsia"/>
                <w:b/>
                <w:bCs/>
              </w:rPr>
              <w:t> </w:t>
            </w:r>
            <w:r>
              <w:rPr>
                <w:rFonts w:ascii="宋体" w:eastAsia="宋体" w:hAnsi="宋体" w:hint="eastAsia"/>
                <w:b/>
                <w:bCs/>
              </w:rPr>
              <w:t> </w:t>
            </w:r>
            <w:r>
              <w:rPr>
                <w:rFonts w:ascii="宋体" w:eastAsia="宋体" w:hAnsi="宋体" w:hint="eastAsia"/>
                <w:b/>
                <w:bCs/>
              </w:rPr>
              <w:t>（二十一）支持海南统一布局新能源汽车充换电基础设施建设和运营。</w:t>
            </w:r>
            <w:r>
              <w:rPr>
                <w:rFonts w:ascii="宋体" w:eastAsia="宋体" w:hAnsi="宋体" w:hint="eastAsia"/>
              </w:rPr>
              <w:t>支持海南统一规划建设和运营新能源汽车充换电新型基础设施，放宽5G融合性产品和服务的市场准入限制，推进车路协同和无人驾驶技术应用。重点加快干线公路沿线服务区快速充换电设施布局，推进城区、产业园区、景区和公共服务场所停车场集中式充换电设施建设，简化项目报备程序及规划建设、消防设计审查验收等方面审批流程，破除市场准入隐性壁垒。鼓励相关企业围绕充换电业务开展商业模式创新示范，探索包容创新的审慎监管制度，支持引导电网企业、新能源汽车生产、电池制造及运营、交通、地产、物业等相关领域企业按照市场化方式组建投资建设运营公司，鼓励创新方式开展各类业务合作，打造全岛“一张网”运营模式。</w:t>
            </w:r>
            <w:r>
              <w:rPr>
                <w:rFonts w:ascii="宋体" w:eastAsia="宋体" w:hAnsi="宋体" w:hint="eastAsia"/>
                <w:b/>
                <w:bCs/>
              </w:rPr>
              <w:t>（牵头单位：国家发展改革委、国家能源局；参加单位：工业和信息化部、自然资源部、住房城乡建设部、国务院国资委）</w:t>
            </w: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hAnsi="宋体" w:hint="eastAsia"/>
                <w:b/>
                <w:bCs/>
                <w:lang w:eastAsia="ko-KR"/>
              </w:rPr>
            </w:pPr>
          </w:p>
          <w:p w:rsidR="00860E70" w:rsidRPr="00860E70" w:rsidRDefault="00860E70" w:rsidP="00860E70">
            <w:pPr>
              <w:snapToGrid w:val="0"/>
              <w:spacing w:line="360" w:lineRule="auto"/>
              <w:ind w:firstLineChars="100" w:firstLine="210"/>
              <w:rPr>
                <w:rFonts w:ascii="宋体" w:hAnsi="宋体" w:hint="eastAsia"/>
                <w:b/>
                <w:bCs/>
                <w:lang w:eastAsia="ko-KR"/>
              </w:rPr>
            </w:pPr>
          </w:p>
          <w:p w:rsidR="00860E70" w:rsidRDefault="00860E70" w:rsidP="00860E70">
            <w:pPr>
              <w:snapToGrid w:val="0"/>
              <w:spacing w:line="360" w:lineRule="auto"/>
              <w:ind w:firstLineChars="100" w:firstLine="210"/>
              <w:rPr>
                <w:rFonts w:ascii="宋体" w:eastAsia="宋体" w:hAnsi="宋体" w:hint="eastAsia"/>
                <w:b/>
                <w:bCs/>
              </w:rPr>
            </w:pPr>
            <w:r>
              <w:rPr>
                <w:rFonts w:ascii="宋体" w:eastAsia="宋体" w:hAnsi="宋体" w:hint="eastAsia"/>
              </w:rPr>
              <w:t> </w:t>
            </w:r>
            <w:r>
              <w:rPr>
                <w:rFonts w:ascii="宋体" w:eastAsia="宋体" w:hAnsi="宋体" w:hint="eastAsia"/>
              </w:rPr>
              <w:t> </w:t>
            </w:r>
            <w:r>
              <w:rPr>
                <w:rFonts w:ascii="宋体" w:eastAsia="宋体" w:hAnsi="宋体" w:hint="eastAsia"/>
                <w:b/>
                <w:bCs/>
              </w:rPr>
              <w:t>（二十二）优化准入环境开展乡村旅游和休闲农业创新发展试点。</w:t>
            </w:r>
            <w:r>
              <w:rPr>
                <w:rFonts w:ascii="宋体" w:eastAsia="宋体" w:hAnsi="宋体" w:hint="eastAsia"/>
              </w:rPr>
              <w:t>选取海南省部分地区，共享应用农村不动产登记数据，以市域或县域为单位开展乡村旅游市场准入试点，有关地方人民政府组织对试点地区所辖适合开展乡村旅游和休闲农业的乡镇和行政村进行整体评估，坚持农村土地农民集体所有，按照市场化原则，组建乡村旅游资产运营公司。在平等协商一致的基础上，支持适合开展民宿、农家乐等乡村旅游业务的资产以长期租赁、联营、入股等合法合规方式，与运营公司开展合作，积极推动闲置农房和宅基地发展民宿和农家乐，将民宿和农家乐纳入相关发展规划统一考虑，注重与周边产业、乡村建设互动协调、配套发展。海南省统一农家乐服务质量标准，统一民宿服务标准，乡村民宿主管部门统一规划信息管理平台、统一能力评估和运营监管。切实维护农民利益，坚决杜绝把乡村变景区的“一刀切”整体开发模式，充分考虑投资方、运营方、集体经济组织、农户等多方利益，因地制宜制定试点具体方案，支持集体经济组织和农户以租金、参与经营、分红等多种形式获得收益。鼓励各类金融机构按照市场化原则，为符合条件的运营公司提供金融支持，全面提升乡村旅游品质，增加农民收入。</w:t>
            </w:r>
            <w:r>
              <w:rPr>
                <w:rFonts w:ascii="宋体" w:eastAsia="宋体" w:hAnsi="宋体" w:hint="eastAsia"/>
              </w:rPr>
              <w:lastRenderedPageBreak/>
              <w:t>鼓励保险机构开发财产保险产品，为乡村旅游产业提供风险保障。引导银行按照风险可控、商业可持续原则加大对乡村旅游产业支持力度，优化业务流程，提高服务效率。</w:t>
            </w:r>
            <w:r>
              <w:rPr>
                <w:rFonts w:ascii="宋体" w:eastAsia="宋体" w:hAnsi="宋体" w:hint="eastAsia"/>
                <w:b/>
                <w:bCs/>
              </w:rPr>
              <w:t>（牵头单位：农业农村部、文化和旅游部、国家发展改革委按职责分工负责；参加单位：自然资源部、住房城乡建设部、银保监会）</w:t>
            </w: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P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eastAsia="宋体" w:hAnsi="宋体" w:hint="eastAsia"/>
              </w:rPr>
            </w:pPr>
            <w:r>
              <w:rPr>
                <w:rFonts w:ascii="宋体" w:eastAsia="宋体" w:hAnsi="宋体" w:hint="eastAsia"/>
              </w:rPr>
              <w:t> </w:t>
            </w:r>
            <w:r>
              <w:rPr>
                <w:rFonts w:ascii="宋体" w:eastAsia="宋体" w:hAnsi="宋体" w:hint="eastAsia"/>
              </w:rPr>
              <w:t> </w:t>
            </w:r>
            <w:r>
              <w:rPr>
                <w:rFonts w:ascii="宋体" w:eastAsia="宋体" w:hAnsi="宋体" w:hint="eastAsia"/>
              </w:rPr>
              <w:t>本意见所列措施由海南省会同各部门各单位具体实施，凡涉及调整现行法律或行政法规的，经全国人大及其常委会或国务院统一授权后实施，各部门各单位要高度重视，按照职责分工，主动作为，积极支持，通力配合。海南省要充分发挥主体作用，加强组织领导，周密安排部署，推动工作取得实效。国家发展改革委、商务部会同有关部门加大协调力度，加强督促检查，重大问题</w:t>
            </w:r>
            <w:r>
              <w:rPr>
                <w:rFonts w:ascii="宋体" w:eastAsia="宋体" w:hAnsi="宋体" w:hint="eastAsia"/>
              </w:rPr>
              <w:lastRenderedPageBreak/>
              <w:t>及时向党中央、国务院请示报告。</w:t>
            </w: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Default="00860E70" w:rsidP="00860E70">
            <w:pPr>
              <w:snapToGrid w:val="0"/>
              <w:spacing w:line="360" w:lineRule="auto"/>
              <w:ind w:firstLineChars="100" w:firstLine="210"/>
              <w:rPr>
                <w:rFonts w:ascii="宋体" w:hAnsi="宋体" w:hint="eastAsia"/>
                <w:lang w:eastAsia="ko-KR"/>
              </w:rPr>
            </w:pPr>
          </w:p>
          <w:p w:rsidR="00860E70" w:rsidRPr="00860E70" w:rsidRDefault="00860E70" w:rsidP="00860E70">
            <w:pPr>
              <w:snapToGrid w:val="0"/>
              <w:spacing w:line="360" w:lineRule="auto"/>
              <w:rPr>
                <w:rFonts w:ascii="宋体" w:hAnsi="宋体" w:hint="eastAsia"/>
                <w:lang w:eastAsia="ko-KR"/>
              </w:rPr>
            </w:pPr>
            <w:bookmarkStart w:id="2" w:name="_GoBack"/>
            <w:bookmarkEnd w:id="2"/>
          </w:p>
          <w:p w:rsidR="00860E70" w:rsidRDefault="00860E70" w:rsidP="00860E70">
            <w:pPr>
              <w:snapToGrid w:val="0"/>
              <w:spacing w:line="360" w:lineRule="auto"/>
              <w:jc w:val="right"/>
              <w:rPr>
                <w:rFonts w:ascii="宋体" w:eastAsia="宋体" w:hAnsi="宋体" w:hint="eastAsia"/>
              </w:rPr>
            </w:pPr>
            <w:r>
              <w:rPr>
                <w:rFonts w:ascii="宋体" w:eastAsia="宋体" w:hAnsi="宋体" w:hint="eastAsia"/>
              </w:rPr>
              <w:t>国家发展改革委</w:t>
            </w:r>
          </w:p>
          <w:p w:rsidR="00860E70" w:rsidRDefault="00860E70" w:rsidP="00860E70">
            <w:pPr>
              <w:snapToGrid w:val="0"/>
              <w:spacing w:line="360" w:lineRule="auto"/>
              <w:jc w:val="right"/>
              <w:rPr>
                <w:rFonts w:ascii="宋体" w:eastAsia="宋体" w:hAnsi="宋体" w:hint="eastAsia"/>
              </w:rPr>
            </w:pPr>
            <w:r>
              <w:rPr>
                <w:rFonts w:ascii="宋体" w:eastAsia="宋体" w:hAnsi="宋体" w:hint="eastAsia"/>
              </w:rPr>
              <w:t>商务部</w:t>
            </w:r>
          </w:p>
          <w:p w:rsidR="00860E70" w:rsidRDefault="00860E70" w:rsidP="00860E70">
            <w:pPr>
              <w:snapToGrid w:val="0"/>
              <w:spacing w:line="360" w:lineRule="auto"/>
              <w:jc w:val="right"/>
              <w:rPr>
                <w:rFonts w:ascii="宋体" w:eastAsia="宋体" w:hAnsi="宋体" w:hint="eastAsia"/>
              </w:rPr>
            </w:pPr>
            <w:r>
              <w:rPr>
                <w:rFonts w:ascii="宋体" w:eastAsia="宋体" w:hAnsi="宋体" w:hint="eastAsia"/>
              </w:rPr>
              <w:t>2021年4月7日</w:t>
            </w:r>
          </w:p>
          <w:p w:rsidR="00DB5008" w:rsidRPr="00860E70" w:rsidRDefault="00DB5008" w:rsidP="00D4574E">
            <w:pPr>
              <w:snapToGrid w:val="0"/>
              <w:spacing w:line="36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AD" w:rsidRDefault="00F460AD" w:rsidP="00C278F4">
      <w:r>
        <w:separator/>
      </w:r>
    </w:p>
  </w:endnote>
  <w:endnote w:type="continuationSeparator" w:id="0">
    <w:p w:rsidR="00F460AD" w:rsidRDefault="00F460A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AD" w:rsidRDefault="00F460AD" w:rsidP="00C278F4">
      <w:r>
        <w:separator/>
      </w:r>
    </w:p>
  </w:footnote>
  <w:footnote w:type="continuationSeparator" w:id="0">
    <w:p w:rsidR="00F460AD" w:rsidRDefault="00F460A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92546"/>
    <w:multiLevelType w:val="hybridMultilevel"/>
    <w:tmpl w:val="4D5C2A4C"/>
    <w:lvl w:ilvl="0" w:tplc="A07C39F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D64F4"/>
    <w:multiLevelType w:val="hybridMultilevel"/>
    <w:tmpl w:val="1A081074"/>
    <w:lvl w:ilvl="0" w:tplc="E09EB84E">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F0CE3"/>
    <w:multiLevelType w:val="hybridMultilevel"/>
    <w:tmpl w:val="708E5D16"/>
    <w:lvl w:ilvl="0" w:tplc="2C4E0E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ED73F3"/>
    <w:multiLevelType w:val="hybridMultilevel"/>
    <w:tmpl w:val="98D817E2"/>
    <w:lvl w:ilvl="0" w:tplc="DB84FD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5601BF"/>
    <w:multiLevelType w:val="hybridMultilevel"/>
    <w:tmpl w:val="091E04C8"/>
    <w:lvl w:ilvl="0" w:tplc="CF9ABEAC">
      <w:start w:val="1"/>
      <w:numFmt w:val="decimal"/>
      <w:lvlText w:val="(%1)"/>
      <w:lvlJc w:val="left"/>
      <w:pPr>
        <w:ind w:left="360" w:hanging="360"/>
      </w:pPr>
      <w:rPr>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9F31380"/>
    <w:multiLevelType w:val="hybridMultilevel"/>
    <w:tmpl w:val="92E4BBA2"/>
    <w:lvl w:ilvl="0" w:tplc="62D28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4">
    <w:nsid w:val="35053CA2"/>
    <w:multiLevelType w:val="hybridMultilevel"/>
    <w:tmpl w:val="0302AE3C"/>
    <w:lvl w:ilvl="0" w:tplc="F12A9C2E">
      <w:start w:val="1"/>
      <w:numFmt w:val="decimal"/>
      <w:lvlText w:val="(%1)"/>
      <w:lvlJc w:val="left"/>
      <w:pPr>
        <w:ind w:left="380" w:hanging="3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411E5A67"/>
    <w:multiLevelType w:val="hybridMultilevel"/>
    <w:tmpl w:val="4BD21A80"/>
    <w:lvl w:ilvl="0" w:tplc="C23AA72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17A14AC"/>
    <w:multiLevelType w:val="hybridMultilevel"/>
    <w:tmpl w:val="79DA0B08"/>
    <w:lvl w:ilvl="0" w:tplc="B3EAA2E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08071F"/>
    <w:multiLevelType w:val="hybridMultilevel"/>
    <w:tmpl w:val="B8B212D6"/>
    <w:lvl w:ilvl="0" w:tplc="7B9CAEB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6E2196"/>
    <w:multiLevelType w:val="hybridMultilevel"/>
    <w:tmpl w:val="4588E438"/>
    <w:lvl w:ilvl="0" w:tplc="76F615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4EC107E3"/>
    <w:multiLevelType w:val="hybridMultilevel"/>
    <w:tmpl w:val="21262D48"/>
    <w:lvl w:ilvl="0" w:tplc="B164F33C">
      <w:start w:val="1"/>
      <w:numFmt w:val="decimal"/>
      <w:lvlText w:val="제%1조"/>
      <w:lvlJc w:val="left"/>
      <w:pPr>
        <w:ind w:left="524" w:hanging="420"/>
      </w:pPr>
      <w:rPr>
        <w:b/>
        <w:bCs/>
      </w:rPr>
    </w:lvl>
    <w:lvl w:ilvl="1" w:tplc="04090019">
      <w:start w:val="1"/>
      <w:numFmt w:val="lowerLetter"/>
      <w:lvlText w:val="%2)"/>
      <w:lvlJc w:val="left"/>
      <w:pPr>
        <w:ind w:left="944" w:hanging="420"/>
      </w:pPr>
    </w:lvl>
    <w:lvl w:ilvl="2" w:tplc="0409001B">
      <w:start w:val="1"/>
      <w:numFmt w:val="lowerRoman"/>
      <w:lvlText w:val="%3."/>
      <w:lvlJc w:val="right"/>
      <w:pPr>
        <w:ind w:left="1364" w:hanging="420"/>
      </w:pPr>
    </w:lvl>
    <w:lvl w:ilvl="3" w:tplc="0409000F">
      <w:start w:val="1"/>
      <w:numFmt w:val="decimal"/>
      <w:lvlText w:val="%4."/>
      <w:lvlJc w:val="left"/>
      <w:pPr>
        <w:ind w:left="1784" w:hanging="420"/>
      </w:pPr>
    </w:lvl>
    <w:lvl w:ilvl="4" w:tplc="04090019">
      <w:start w:val="1"/>
      <w:numFmt w:val="lowerLetter"/>
      <w:lvlText w:val="%5)"/>
      <w:lvlJc w:val="left"/>
      <w:pPr>
        <w:ind w:left="2204" w:hanging="420"/>
      </w:pPr>
    </w:lvl>
    <w:lvl w:ilvl="5" w:tplc="0409001B">
      <w:start w:val="1"/>
      <w:numFmt w:val="lowerRoman"/>
      <w:lvlText w:val="%6."/>
      <w:lvlJc w:val="right"/>
      <w:pPr>
        <w:ind w:left="2624" w:hanging="420"/>
      </w:pPr>
    </w:lvl>
    <w:lvl w:ilvl="6" w:tplc="0409000F">
      <w:start w:val="1"/>
      <w:numFmt w:val="decimal"/>
      <w:lvlText w:val="%7."/>
      <w:lvlJc w:val="left"/>
      <w:pPr>
        <w:ind w:left="3044" w:hanging="420"/>
      </w:pPr>
    </w:lvl>
    <w:lvl w:ilvl="7" w:tplc="04090019">
      <w:start w:val="1"/>
      <w:numFmt w:val="lowerLetter"/>
      <w:lvlText w:val="%8)"/>
      <w:lvlJc w:val="left"/>
      <w:pPr>
        <w:ind w:left="3464" w:hanging="420"/>
      </w:pPr>
    </w:lvl>
    <w:lvl w:ilvl="8" w:tplc="0409001B">
      <w:start w:val="1"/>
      <w:numFmt w:val="lowerRoman"/>
      <w:lvlText w:val="%9."/>
      <w:lvlJc w:val="right"/>
      <w:pPr>
        <w:ind w:left="3884" w:hanging="420"/>
      </w:pPr>
    </w:lvl>
  </w:abstractNum>
  <w:abstractNum w:abstractNumId="2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A86ACB"/>
    <w:multiLevelType w:val="hybridMultilevel"/>
    <w:tmpl w:val="B622EB4C"/>
    <w:lvl w:ilvl="0" w:tplc="14707DE2">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764980"/>
    <w:multiLevelType w:val="hybridMultilevel"/>
    <w:tmpl w:val="CEFAD9D6"/>
    <w:lvl w:ilvl="0" w:tplc="71BEFFA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6F50761"/>
    <w:multiLevelType w:val="hybridMultilevel"/>
    <w:tmpl w:val="B7F2716A"/>
    <w:lvl w:ilvl="0" w:tplc="638670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A1B56"/>
    <w:multiLevelType w:val="hybridMultilevel"/>
    <w:tmpl w:val="DA021E78"/>
    <w:lvl w:ilvl="0" w:tplc="D762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8"/>
  </w:num>
  <w:num w:numId="3">
    <w:abstractNumId w:val="1"/>
  </w:num>
  <w:num w:numId="4">
    <w:abstractNumId w:val="23"/>
  </w:num>
  <w:num w:numId="5">
    <w:abstractNumId w:val="4"/>
  </w:num>
  <w:num w:numId="6">
    <w:abstractNumId w:val="11"/>
  </w:num>
  <w:num w:numId="7">
    <w:abstractNumId w:val="30"/>
  </w:num>
  <w:num w:numId="8">
    <w:abstractNumId w:val="2"/>
  </w:num>
  <w:num w:numId="9">
    <w:abstractNumId w:val="28"/>
  </w:num>
  <w:num w:numId="10">
    <w:abstractNumId w:val="12"/>
  </w:num>
  <w:num w:numId="11">
    <w:abstractNumId w:val="22"/>
  </w:num>
  <w:num w:numId="12">
    <w:abstractNumId w:val="15"/>
  </w:num>
  <w:num w:numId="13">
    <w:abstractNumId w:val="32"/>
  </w:num>
  <w:num w:numId="14">
    <w:abstractNumId w:val="25"/>
  </w:num>
  <w:num w:numId="15">
    <w:abstractNumId w:val="13"/>
  </w:num>
  <w:num w:numId="16">
    <w:abstractNumId w:val="0"/>
  </w:num>
  <w:num w:numId="17">
    <w:abstractNumId w:val="24"/>
  </w:num>
  <w:num w:numId="18">
    <w:abstractNumId w:val="27"/>
  </w:num>
  <w:num w:numId="19">
    <w:abstractNumId w:val="31"/>
  </w:num>
  <w:num w:numId="20">
    <w:abstractNumId w:val="3"/>
  </w:num>
  <w:num w:numId="21">
    <w:abstractNumId w:val="19"/>
  </w:num>
  <w:num w:numId="22">
    <w:abstractNumId w:val="5"/>
  </w:num>
  <w:num w:numId="23">
    <w:abstractNumId w:val="18"/>
  </w:num>
  <w:num w:numId="24">
    <w:abstractNumId w:val="6"/>
  </w:num>
  <w:num w:numId="25">
    <w:abstractNumId w:val="26"/>
  </w:num>
  <w:num w:numId="26">
    <w:abstractNumId w:val="7"/>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C6C5C"/>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1C97"/>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60E70"/>
    <w:rsid w:val="00872BD1"/>
    <w:rsid w:val="00874D2F"/>
    <w:rsid w:val="00882A4B"/>
    <w:rsid w:val="00895A68"/>
    <w:rsid w:val="00896D67"/>
    <w:rsid w:val="008D50EF"/>
    <w:rsid w:val="009053B4"/>
    <w:rsid w:val="00907432"/>
    <w:rsid w:val="00913DA6"/>
    <w:rsid w:val="009274C0"/>
    <w:rsid w:val="0093393B"/>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4CA7"/>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2F12"/>
    <w:rsid w:val="00DF51C3"/>
    <w:rsid w:val="00E00A22"/>
    <w:rsid w:val="00E05766"/>
    <w:rsid w:val="00E10EE2"/>
    <w:rsid w:val="00E27A28"/>
    <w:rsid w:val="00E46AEF"/>
    <w:rsid w:val="00E75E1F"/>
    <w:rsid w:val="00E7653A"/>
    <w:rsid w:val="00E9059C"/>
    <w:rsid w:val="00E9086C"/>
    <w:rsid w:val="00E9758D"/>
    <w:rsid w:val="00EE4CB9"/>
    <w:rsid w:val="00F01C22"/>
    <w:rsid w:val="00F078AB"/>
    <w:rsid w:val="00F261B7"/>
    <w:rsid w:val="00F32227"/>
    <w:rsid w:val="00F460AD"/>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72064511">
      <w:bodyDiv w:val="1"/>
      <w:marLeft w:val="0"/>
      <w:marRight w:val="0"/>
      <w:marTop w:val="0"/>
      <w:marBottom w:val="0"/>
      <w:divBdr>
        <w:top w:val="none" w:sz="0" w:space="0" w:color="auto"/>
        <w:left w:val="none" w:sz="0" w:space="0" w:color="auto"/>
        <w:bottom w:val="none" w:sz="0" w:space="0" w:color="auto"/>
        <w:right w:val="none" w:sz="0" w:space="0" w:color="auto"/>
      </w:divBdr>
    </w:div>
    <w:div w:id="97756552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075736468">
      <w:bodyDiv w:val="1"/>
      <w:marLeft w:val="0"/>
      <w:marRight w:val="0"/>
      <w:marTop w:val="0"/>
      <w:marBottom w:val="0"/>
      <w:divBdr>
        <w:top w:val="none" w:sz="0" w:space="0" w:color="auto"/>
        <w:left w:val="none" w:sz="0" w:space="0" w:color="auto"/>
        <w:bottom w:val="none" w:sz="0" w:space="0" w:color="auto"/>
        <w:right w:val="none" w:sz="0" w:space="0" w:color="auto"/>
      </w:divBdr>
    </w:div>
    <w:div w:id="1088187834">
      <w:bodyDiv w:val="1"/>
      <w:marLeft w:val="0"/>
      <w:marRight w:val="0"/>
      <w:marTop w:val="0"/>
      <w:marBottom w:val="0"/>
      <w:divBdr>
        <w:top w:val="none" w:sz="0" w:space="0" w:color="auto"/>
        <w:left w:val="none" w:sz="0" w:space="0" w:color="auto"/>
        <w:bottom w:val="none" w:sz="0" w:space="0" w:color="auto"/>
        <w:right w:val="none" w:sz="0" w:space="0" w:color="auto"/>
      </w:divBdr>
    </w:div>
    <w:div w:id="1124230640">
      <w:bodyDiv w:val="1"/>
      <w:marLeft w:val="0"/>
      <w:marRight w:val="0"/>
      <w:marTop w:val="0"/>
      <w:marBottom w:val="0"/>
      <w:divBdr>
        <w:top w:val="none" w:sz="0" w:space="0" w:color="auto"/>
        <w:left w:val="none" w:sz="0" w:space="0" w:color="auto"/>
        <w:bottom w:val="none" w:sz="0" w:space="0" w:color="auto"/>
        <w:right w:val="none" w:sz="0" w:space="0" w:color="auto"/>
      </w:divBdr>
    </w:div>
    <w:div w:id="1193419174">
      <w:bodyDiv w:val="1"/>
      <w:marLeft w:val="0"/>
      <w:marRight w:val="0"/>
      <w:marTop w:val="0"/>
      <w:marBottom w:val="0"/>
      <w:divBdr>
        <w:top w:val="none" w:sz="0" w:space="0" w:color="auto"/>
        <w:left w:val="none" w:sz="0" w:space="0" w:color="auto"/>
        <w:bottom w:val="none" w:sz="0" w:space="0" w:color="auto"/>
        <w:right w:val="none" w:sz="0" w:space="0" w:color="auto"/>
      </w:divBdr>
    </w:div>
    <w:div w:id="18149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3FBF-FAC7-4002-BD6C-403D2DA8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17</Pages>
  <Words>2695</Words>
  <Characters>15365</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65</cp:revision>
  <dcterms:created xsi:type="dcterms:W3CDTF">2016-01-15T03:23:00Z</dcterms:created>
  <dcterms:modified xsi:type="dcterms:W3CDTF">2021-04-19T01:08:00Z</dcterms:modified>
</cp:coreProperties>
</file>