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환경보호부의</w:t>
            </w:r>
            <w:r w:rsidRPr="003839E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&lt;국가환경기준 관리방법(시범시행)&gt; 공표에 관한 공고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제14호 공고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환경보호부는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&lt;중화인민공화국 환경보호법&gt;을 관철하고 국가환경기준 연구•제정•공표•응용•감독 업무를 규율하기 위한 목적으로 &lt;국가환경기준 관리방법(시범시행)&gt;을 제정하였다. 이에 다음과 같이 공표하는 바이며 공표일로부터 시행한다.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 국가환경기준 관리방법(시범시행)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환경보호부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4월 19일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국가환경기준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관리방법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(시범시행)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1장 총칙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관리 업무를 강화하고 규율하기 위한 목적으로 &lt;중화인민공화국 환경보호법&gt;에 의거하여 이 방법을 제정한다. 환경기준의 연구•제정•공표•응용 및 감독 등 업무에 대한 조직과 관리는 이 방법을 적용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받는다.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환경기준이라 함은 인체건강과 생태계에 유해한 효과를 발생하지 아니하는 환경요인(오염물질 또는 유해요소)의 사용량 또는 수준을 의미한다.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환경요인은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화학적 요인(오염물질, 영양물질 등), 물리적 요인(소음, 진동, 방사능 등) 및 생물적 요인(미생물, 병원체 등) 등을 포함한다.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관리 업무는 주로 환경기준에 관한 과학연구, 환경기준업무계획 및 실시계획의 제정, 환경기준의 제정•승인•공표, 관리 플랫폼, 환경기준 전문가 육성, 기술교육, 과학보급 및 응용을 포함한다.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관리 업무는 다음 각 호의 기본원칙을 따라야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국가의 환경보호 관계 법률•법규•정책 및 관련 규장제도의 요구에 부합되어야 한다.</w:t>
            </w:r>
          </w:p>
          <w:p w:rsidR="003839E7" w:rsidRPr="00FE2FDA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FE2FDA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인체건강 및 생태계 보호에 입각점을 두어</w:t>
            </w:r>
            <w:r w:rsidRPr="00FE2FDA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lastRenderedPageBreak/>
              <w:t>야 하고 우리나라의 기본 국정과 환경 특징에 부합되어야 하며 최신 과학기술 성과를 구현하여야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참고적 흡수 및 자주적 혁신을 결합한 기초상에서 과학적•규범적, 개방적•공유적, 지속적•질서적으로 환경기준 업무를 전개하여야 한다. 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환경보호부는 환경기준 업무를 통일적으로 감독관리하고 관련 업무규칙을 제정하며 환경기준의 제정 및 공표를 조직한다. 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환경보호부는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환경기준에 대한 과학평가를 담당하는 환경기준전문가위원회(이하 '전문가위원회'로 약칭)를 구성한다.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과제 수행업체는 환경기준의 연구 및 제정 등 업무를 담당한다. 환경기준 과제 수행업체는 다음 각 호의 조건을 구비하여야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국가의 환경보호 법률•법규를 숙지하고 있으며 국내외 환경기준 관련 업무 지식을 갖춘 전문기술인력을 보유하고 있어야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관련 과학연구 전개에 필요한 실험•분석 수단과 능력을 구비하고 있어야 한다.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2장 분류</w:t>
            </w:r>
          </w:p>
          <w:p w:rsidR="003839E7" w:rsidRPr="00FE2FDA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7조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FE2FDA">
              <w:rPr>
                <w:rFonts w:ascii="한컴바탕" w:eastAsia="한컴바탕" w:hAnsi="한컴바탕" w:cs="한컴바탕"/>
                <w:szCs w:val="21"/>
                <w:lang w:eastAsia="ko-KR"/>
              </w:rPr>
              <w:t>환경기준은 수질환경기준, 대기환경기준, 토양환경기준 및 기타 기준으로 분류할 수 있다.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수질환경요인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노출로부터 인체건강 및 수생생태계의 안전을 보호하기 위하여 수질환경기준을 제정하며 주로 인체건강수질환경기준, 수생생물수질환경기준, 수체영양물질환경기준, 침적물환경기준, 미생물수질환경기준, 병원체수질환경기준 등을 포함한다.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대기환경요인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노출로부터 인체건강 및 생태계의 안전을 보호하기 위하여 대기환경기준을 제정하며 주로 인체건강대기환경기준, 생태계대기환경기준 등을 포함한다.</w:t>
            </w:r>
          </w:p>
          <w:p w:rsidR="003839E7" w:rsidRPr="00FE2FDA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E2FD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토양환경요인</w:t>
            </w:r>
            <w:r w:rsidRPr="00FE2FD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노출로부터 인체건강, 토양생태계 안전, 농산물 품질 및 지하수 안전 등을 보호하기 위하여 토양환경기준을 제정하며 주로 인체건강토양환경기준, 육생생물토양환경기준, 농산물품질토양환경기준, 지하수토양환경기준 등을 포함한다. 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인체건강을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보호하기 위하여 소음, 진동, 방사능 등 환경기준을 제정한다.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8조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환경보호부는 수질, 대기, 토양 등 환경기준 제정에 관한 기술지침 및 규범을 공표하며 주로 적용범위, 기준 데이터 선별, 모형 및 추리방법 등을 포함한다.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9조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기술지침 및 규범에 의거하여 각 환경요인의 환경기준을 확정하되 구체적으로 수치, 함수식 또는 기술(</w:t>
            </w: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記述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)수준 형식으로 표현한다. 환경기준의 구체적인 제정 방법과 과정을 설명하기 위하여 환경기준 공표 시 기술보고서를 작성 및 첨부하여야 한다. 기술보고서의 주요 내용은 환경용인의 성격, 실험 과정, 효과 분석, 노출 분석, 기준 추리 및 서술, 기준에 대한 자기심사, 미(</w:t>
            </w: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未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)사용 데이터에 대한 설명 등을 포함한다.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3장 제정 및 공표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10조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환경기준을 제정함에 있어 다음 각 호의 기본원칙을 준수하여야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과학성 및 객관성의 원칙. 환경기준의 제정은 우리나라의 환경 특징과 환경보호의 목표 및 수요에 부합되어야 하며 기존의 과학연구 결과와 대량의 실험 데이터를 토대로 이뤄져야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통일성 및 규범성의 원칙. 환경기준의 제정은 관련 기술지침 및 관리규범에 따라 통일적으로 진행되어야 하며 전체 과정에 대한 품질 통제를 강화하여야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적시적 갱신의 원칙. 최신 연구성과 및 관리요구에 근거하여 환경기준을 적시적으로 갱신하여야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11조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환경기준의 제정은 다음 각 호의 기본절차에 따라야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연간 환경기준 업무 계획 작성;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연간 환경기준 업무 과제 및 수행업체 확정;</w:t>
            </w:r>
          </w:p>
          <w:p w:rsidR="003839E7" w:rsidRPr="00FE2FDA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FE2FDA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환경기준 과제 실시방안 제안서 논증;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관련 조사, 실험, 추리 및 기안 등 업무 전개;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(5)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초안에 대한 공개적 의견수렴 및 과학평가 실시;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(6)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환경기준에 대한 행정심사 조직;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(7)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승인 및 공표.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12조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환경기준 초안 작성 업무는 다음 각 호의 내용을 포함한다.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목표 환경요인의 국내외 환경기준 연구 및 발표 현황에 대한 연구조사를 실시하고 관련 환경기준 제정 기술을 심도있게 파악한다.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독성 데이터, 인체 및 환경 노출 데이터, 생물학적 확장 데이터, 환경행위 데이터 및 유행병학 데이터 등을 포함하여 목표 환경요인의 국내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외 환경기준 관련 데이터를 연구 및 선별한다.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관련 조사, 실험, 추리 및 검증을 전개한다.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관련 데이터에 대한 분석 및 평가를 거쳐 환경기준을 제정하고 기술보고서를 작성한다.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13조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환경기준 초안은 공개하여 사회 각 분야의 의견을 수렴하여야 한다. 환경기준 과제 수행업체는 대중의 의견에 근거하여 초안을 수정 및 보완하고 전문위원회에 제출하여 과학평가를 실시하여야 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14조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환경기준 과제 수행업체는 과학평가 과정에서 제기된 질의사항에 대하여 분석 및 해석할 의무가 있으며 비교적 큰 쟁점이 발생하는 경우 환경기준 과제 수행업체가 수정 및 보완 후 2차 과학평가를 실시할 수 있다.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15조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과학평가의 주요 기술적 요점은 다음 각 호의 내용을 포함한다.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환경기준과 우리나라 환경 특징의 적합성;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환기준 제정 방법의 규범성;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제정 과정에서 사용된 데이터의 충분성, 대표성, 정확성 및 신뢰도;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환경기준 제정 과정에서 이뤄진 데이터 분석 및 추리의 정확성.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16조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환경보호부는 환경기준에 대한 행정심사를 실시하고 승인 후 공표한다.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4장 응용 및 감독</w:t>
            </w:r>
          </w:p>
          <w:p w:rsidR="003839E7" w:rsidRPr="00FE2FDA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17조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FE2FDA">
              <w:rPr>
                <w:rFonts w:ascii="한컴바탕" w:eastAsia="한컴바탕" w:hAnsi="한컴바탕" w:cs="한컴바탕"/>
                <w:szCs w:val="21"/>
                <w:lang w:eastAsia="ko-KR"/>
              </w:rPr>
              <w:t>환경기준은 환경표준 개정, 환경품질 평가, 환경리스크 평가 등 업무에 사용할 수 있다.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18조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국가환경기준데이터베이스 및 관리정보화 플랫폼을 구축하여 환경기준 성과의 공유를 촉진시킨다.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19조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환경기준에 대한 과학보급 및 홍보를 추진하고 기술교육 및 교류를 강화하며 국제협력을 격려한다.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환경보호부가 환경기준 과제 수행업체에 대한 감독 업무를 담당한다. 환경기준 업무 절차와 관련 기술규범을 위반하는 행위가 발생하는 경우 중단을 명하고 자금을 회수할 권한이 있다.</w:t>
            </w:r>
          </w:p>
          <w:p w:rsidR="003839E7" w:rsidRPr="003839E7" w:rsidRDefault="003839E7" w:rsidP="00FE2FDA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21조</w:t>
            </w:r>
            <w:r w:rsidR="00FE2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환경기준전문가위원회는 과학적, 공정적, 객관적인 태도로 업무에 임해야 하며 환경기준 평가 결론에 대하여 책임져야 한다. </w:t>
            </w:r>
          </w:p>
          <w:p w:rsidR="003839E7" w:rsidRPr="003839E7" w:rsidRDefault="003839E7" w:rsidP="003839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3839E7" w:rsidRPr="003839E7" w:rsidRDefault="003839E7" w:rsidP="0036276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5장 부칙</w:t>
            </w:r>
          </w:p>
          <w:p w:rsidR="003839E7" w:rsidRPr="003839E7" w:rsidRDefault="003839E7" w:rsidP="00362762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22조</w:t>
            </w:r>
            <w:r w:rsidR="0036276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이 방법은 환경보호부가 책임지고 해석한다.</w:t>
            </w:r>
          </w:p>
          <w:p w:rsidR="00F6633C" w:rsidRPr="003839E7" w:rsidRDefault="003839E7" w:rsidP="00362762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3839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23조</w:t>
            </w:r>
            <w:r w:rsidR="0036276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3839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이 방법은 공표일로부터 시범시행한다.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3839E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环境保护部关于发布《国家环境基准管理办法（试行）》的公告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公告</w:t>
            </w:r>
            <w:r w:rsidRPr="003839E7">
              <w:rPr>
                <w:rFonts w:ascii="SimSun" w:eastAsia="SimSun" w:hAnsi="SimSun"/>
                <w:szCs w:val="21"/>
              </w:rPr>
              <w:t xml:space="preserve"> 2017</w:t>
            </w:r>
            <w:r w:rsidRPr="003839E7">
              <w:rPr>
                <w:rFonts w:ascii="SimSun" w:eastAsia="SimSun" w:hAnsi="SimSun" w:hint="eastAsia"/>
                <w:szCs w:val="21"/>
              </w:rPr>
              <w:t>年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第</w:t>
            </w:r>
            <w:r w:rsidRPr="003839E7">
              <w:rPr>
                <w:rFonts w:ascii="SimSun" w:eastAsia="SimSun" w:hAnsi="SimSun"/>
                <w:szCs w:val="21"/>
              </w:rPr>
              <w:t>14</w:t>
            </w:r>
            <w:r w:rsidRPr="003839E7">
              <w:rPr>
                <w:rFonts w:ascii="SimSun" w:eastAsia="SimSun" w:hAnsi="SimSun" w:hint="eastAsia"/>
                <w:szCs w:val="21"/>
              </w:rPr>
              <w:t>号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为贯彻《中华人民共和国环境保护法》，规范国家环境基准研究、制定、发布、应用与监督工作，我部制定了《国家环境基准管理办法（试行）》，现予发布。该办法自发布之日起施行。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附件：国家环境基准管理办法（试行）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FE2FDA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环境保护部</w:t>
            </w:r>
          </w:p>
          <w:p w:rsidR="003839E7" w:rsidRPr="003839E7" w:rsidRDefault="003839E7" w:rsidP="00FE2FDA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3839E7">
              <w:rPr>
                <w:rFonts w:ascii="SimSun" w:eastAsia="SimSun" w:hAnsi="SimSun"/>
                <w:szCs w:val="21"/>
              </w:rPr>
              <w:t>2017</w:t>
            </w:r>
            <w:r w:rsidRPr="003839E7">
              <w:rPr>
                <w:rFonts w:ascii="SimSun" w:eastAsia="SimSun" w:hAnsi="SimSun" w:hint="eastAsia"/>
                <w:szCs w:val="21"/>
              </w:rPr>
              <w:t>年</w:t>
            </w:r>
            <w:r w:rsidRPr="003839E7">
              <w:rPr>
                <w:rFonts w:ascii="SimSun" w:eastAsia="SimSun" w:hAnsi="SimSun"/>
                <w:szCs w:val="21"/>
              </w:rPr>
              <w:t>4</w:t>
            </w:r>
            <w:r w:rsidRPr="003839E7">
              <w:rPr>
                <w:rFonts w:ascii="SimSun" w:eastAsia="SimSun" w:hAnsi="SimSun" w:hint="eastAsia"/>
                <w:szCs w:val="21"/>
              </w:rPr>
              <w:t>月</w:t>
            </w:r>
            <w:r w:rsidRPr="003839E7">
              <w:rPr>
                <w:rFonts w:ascii="SimSun" w:eastAsia="SimSun" w:hAnsi="SimSun"/>
                <w:szCs w:val="21"/>
              </w:rPr>
              <w:t>19</w:t>
            </w:r>
            <w:r w:rsidRPr="003839E7">
              <w:rPr>
                <w:rFonts w:ascii="SimSun" w:eastAsia="SimSun" w:hAnsi="SimSun" w:hint="eastAsia"/>
                <w:szCs w:val="21"/>
              </w:rPr>
              <w:t>日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附件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国家环境基准管理办法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（试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行）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FE2FD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第一章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总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则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第一条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为加强和规范环境基准管理工作，依据《中华人民共和国环境保护法》制定本办法。本办法适用于环境基准研究、制定、发布、应用与监督等工作的组织管理。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第二条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FE2FDA">
              <w:rPr>
                <w:rFonts w:ascii="SimSun" w:eastAsia="SimSun" w:hAnsi="SimSun" w:hint="eastAsia"/>
                <w:spacing w:val="8"/>
                <w:szCs w:val="21"/>
              </w:rPr>
              <w:t>环境基准是环境因子（污染物质或有害要素）对人体健康与生态系统不产生有害效应的剂量或水平。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环境因子包括化学（污染物、营养物等）、物理（噪声、振动、辐射等）和生物（微生物、病原体等）因子等。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第三条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环境基准管理工作主要包括环境基准科学研究，环境基准工作规划和实施计划制定，环境基准制定、批准、发布，管理平台，环境基准专业队伍建设、技术培训、科学普及与应用。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第四条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环境基准管理工作应遵循以下基本原则：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（一）符合国家环境保护法律、法规、政策以及有关规章制度要求；</w:t>
            </w:r>
          </w:p>
          <w:p w:rsidR="003839E7" w:rsidRPr="00FE2FDA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FE2FDA">
              <w:rPr>
                <w:rFonts w:ascii="SimSun" w:eastAsia="SimSun" w:hAnsi="SimSun" w:hint="eastAsia"/>
                <w:spacing w:val="12"/>
                <w:szCs w:val="21"/>
              </w:rPr>
              <w:t>以保护人体健康与生态系统为出发点，符合我国基本国情和</w:t>
            </w:r>
            <w:r w:rsidRPr="00FE2FDA">
              <w:rPr>
                <w:rFonts w:ascii="SimSun" w:eastAsia="SimSun" w:hAnsi="SimSun" w:hint="eastAsia"/>
                <w:spacing w:val="12"/>
                <w:szCs w:val="21"/>
              </w:rPr>
              <w:lastRenderedPageBreak/>
              <w:t>环境特征，体现最新的科学技术成果；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（三）在借鉴吸收与自主创新相结合的基础上，科学规范、开放共享、持续有序地开展环境基准工作。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第五条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环境保护部对环境基准工作进行统一监督管理，制定相关工作规则，组织制定并发布环境基准。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环境保护部组建环境基准专家委员会（以下简称专家委员会）负责环境基准的科学评估。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第六条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环境基准任务承担单位负责环境基准研究与制订等工作。环境基准任务承担单位应具备下列条件：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（一）具有熟悉国家环境保护法律、法规，掌握国内外环境基准相关业务知识的专业技术人员；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（二）具有开展环境基准科学研究的实验分析手段和能力。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FE2FD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第二章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分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类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第七条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环境基准可分为水环境基准、大气环境基准、土壤环境基准及其他基准。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为保护水环境因子暴露下人体健康和水生生态系统安全，制定水环境基准，主要包括人体健康水环境基准、水生生物水环境基准、水体营养物环境基准、沉积物环境基准、微生物水环境基准、病原体水环境基准等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为保护大气环境因子暴露下人体健康和生态系统安全，制定大气环境基准，主要包括人体健康大气环境基准、生态系统大气环境基准等。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为保护土壤环境因子暴露下人体健康、土壤生态系统安全、农产品质量与地下水安全等，制定土壤环境基准，主要包括人体健康土壤环境基准、陆生生物土壤环境基准、农产品质量土壤环境基准、地下水土壤环境基准等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为保护人体健康，制定噪声、振动、辐射等环境基准。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第八条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环境保护部发布水、大气、土壤等环境基准制定技术指南与规范，主要包括适用范围、基准数据筛选、模型和推导方法等。</w:t>
            </w:r>
          </w:p>
          <w:p w:rsidR="003839E7" w:rsidRPr="00FE2FDA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lastRenderedPageBreak/>
              <w:t xml:space="preserve">　　第九条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FE2FDA">
              <w:rPr>
                <w:rFonts w:ascii="SimSun" w:eastAsia="SimSun" w:hAnsi="SimSun" w:hint="eastAsia"/>
                <w:spacing w:val="8"/>
                <w:szCs w:val="21"/>
              </w:rPr>
              <w:t>依据环境基准技术指南与规范，确定不同环境因子的环境基准，具体表现形式为数值、函数式或描述水平。为阐述环境基准制定的具体方法和过程，环境基准发布时，需编制技术报告作为附件。技术报告主要内容包括环境因子性质、实验过程、效应分析、暴露分析、基准推导及表述、基准自审核、未使用数据的说明等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FE2FD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第三章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制定与发布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环境基准的制定应遵循以下基本原则：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（一）科学客观。环境基准制定应符合我国环境特征和保护目标需求，以现有科学研究结果和大量的实验数据为基础。</w:t>
            </w:r>
          </w:p>
          <w:p w:rsidR="003839E7" w:rsidRPr="00FE2FDA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FE2FDA">
              <w:rPr>
                <w:rFonts w:ascii="SimSun" w:eastAsia="SimSun" w:hAnsi="SimSun" w:hint="eastAsia"/>
                <w:spacing w:val="20"/>
                <w:szCs w:val="21"/>
              </w:rPr>
              <w:t>统一规范。环境基准制定应统一按照相关技术指南与管理规范进行，强化全过程质量控制。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（三）</w:t>
            </w:r>
            <w:r w:rsidRPr="00FE2FDA">
              <w:rPr>
                <w:rFonts w:ascii="SimSun" w:eastAsia="SimSun" w:hAnsi="SimSun" w:hint="eastAsia"/>
                <w:spacing w:val="20"/>
                <w:szCs w:val="21"/>
              </w:rPr>
              <w:t>适时更新。环境基准应根据最新研究成果和管理要求，适时更新。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第十一条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环境基准的制定应遵循以下基本程序：</w:t>
            </w:r>
          </w:p>
          <w:p w:rsidR="003839E7" w:rsidRPr="00FE2FDA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（一）</w:t>
            </w:r>
            <w:r w:rsidRPr="00FE2FDA">
              <w:rPr>
                <w:rFonts w:ascii="SimSun" w:eastAsia="SimSun" w:hAnsi="SimSun" w:hint="eastAsia"/>
                <w:spacing w:val="-6"/>
                <w:szCs w:val="21"/>
              </w:rPr>
              <w:t>编制环境基准年度工作计划；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（二）确定年度环境基准工作任务及承担单位；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（三）对环境基准任务的实施方案进行开题论证；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（四）开展环境基准相关的调查、实验、推导以及草案起草等工作；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（五）对环境基准草案进行公开征求意见和科学评估；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（六）组织环境基准行政审查；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（七）批准和发布环境基准。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第十二条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环境基准草案编制工作内容包括：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（一）调研目标环境因子国内外环境基准研究及发布现状，深入理解相关环境基准制定技术；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（二）调研与筛选目标环境因子的国内外环境基准相关数据，包括毒性数据、人体与环境暴露数据、生物富集数</w:t>
            </w:r>
            <w:r w:rsidRPr="003839E7">
              <w:rPr>
                <w:rFonts w:ascii="SimSun" w:eastAsia="SimSun" w:hAnsi="SimSun" w:hint="eastAsia"/>
                <w:szCs w:val="21"/>
              </w:rPr>
              <w:lastRenderedPageBreak/>
              <w:t>据、环境行为数据及流行病学数据等；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（三）开展环境基准相关的调查、实验、推导和校验；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（四）对环境基准相关数据进行分析评价，制订环境基准并编写技术报告。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第十三条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FE2FDA">
              <w:rPr>
                <w:rFonts w:ascii="SimSun" w:eastAsia="SimSun" w:hAnsi="SimSun" w:hint="eastAsia"/>
                <w:spacing w:val="20"/>
                <w:szCs w:val="21"/>
              </w:rPr>
              <w:t>环境基准草案应向社会征求意见。环境基准任务承担单位应根据公众意见修改完善草案，并报专家委员会进行科学评估。</w:t>
            </w:r>
          </w:p>
          <w:p w:rsidR="003839E7" w:rsidRPr="00FE2FDA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第十四条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FE2FDA">
              <w:rPr>
                <w:rFonts w:ascii="SimSun" w:eastAsia="SimSun" w:hAnsi="SimSun" w:hint="eastAsia"/>
                <w:spacing w:val="20"/>
                <w:szCs w:val="21"/>
              </w:rPr>
              <w:t>环境基准任务承担单位须对科学评估的质疑进行分析与解释，争议较大时，可在环境基准任务承担单位修改完善后进行二次科学评估。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第十五条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科学评估的主要技术要点包括：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（一）环境基准与我国环境特征的适配性；</w:t>
            </w:r>
          </w:p>
          <w:p w:rsidR="003839E7" w:rsidRPr="00FE2FDA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FE2FDA">
              <w:rPr>
                <w:rFonts w:ascii="SimSun" w:eastAsia="SimSun" w:hAnsi="SimSun" w:hint="eastAsia"/>
                <w:spacing w:val="-6"/>
                <w:szCs w:val="21"/>
              </w:rPr>
              <w:t>环境基准制订方法的规范性；</w:t>
            </w:r>
          </w:p>
          <w:p w:rsidR="003839E7" w:rsidRPr="00FE2FDA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（三）</w:t>
            </w:r>
            <w:r w:rsidRPr="00FE2FDA">
              <w:rPr>
                <w:rFonts w:ascii="SimSun" w:eastAsia="SimSun" w:hAnsi="SimSun" w:hint="eastAsia"/>
                <w:spacing w:val="-6"/>
                <w:szCs w:val="21"/>
              </w:rPr>
              <w:t>环境基准制订过程中使用数据的充分性、代表性、准确性和可靠性；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（四）环境基准制订过程中数据分析和推导的正确性。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第十六条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环境保护部对环境基准开展行政审查，批准后发布。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FE2FD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>第四章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应用与监督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第十七条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环境基准可用于环境标准制修订、环境质量评价、环境风险评估等工作。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第十八条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建设国家环境基准数据库与管理信息化平台，促进环境基准成果共享。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第十九条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开展环境基准的科学普及与宣传，加大技术培训与交流，鼓励开展国际合作。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第二十条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环境保护部负责对环境基准任务承担单位进行监督。对违反环境基准工作程序和相关技术规范的，有权勒令停止，收回资金。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第二十一条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环境基准专家委员会应本着科学、公正、客观的态度开展工作，对环境基准科学评估结论负责。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839E7" w:rsidRPr="003839E7" w:rsidRDefault="003839E7" w:rsidP="0036276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lastRenderedPageBreak/>
              <w:t>第五章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附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则</w:t>
            </w:r>
          </w:p>
          <w:p w:rsidR="003839E7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第二十二条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本办法由环境保护部负责解释。</w:t>
            </w:r>
          </w:p>
          <w:p w:rsidR="00F6633C" w:rsidRPr="003839E7" w:rsidRDefault="003839E7" w:rsidP="003839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839E7">
              <w:rPr>
                <w:rFonts w:ascii="SimSun" w:eastAsia="SimSun" w:hAnsi="SimSun" w:hint="eastAsia"/>
                <w:szCs w:val="21"/>
              </w:rPr>
              <w:t xml:space="preserve">　　第二十三条</w:t>
            </w:r>
            <w:r w:rsidRPr="003839E7">
              <w:rPr>
                <w:rFonts w:ascii="SimSun" w:eastAsia="SimSun" w:hAnsi="SimSun"/>
                <w:szCs w:val="21"/>
              </w:rPr>
              <w:t xml:space="preserve"> </w:t>
            </w:r>
            <w:r w:rsidRPr="003839E7">
              <w:rPr>
                <w:rFonts w:ascii="SimSun" w:eastAsia="SimSun" w:hAnsi="SimSun" w:hint="eastAsia"/>
                <w:szCs w:val="21"/>
              </w:rPr>
              <w:t>本办法自发布之日起试行。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E4" w:rsidRDefault="006F6BE4" w:rsidP="00C278F4">
      <w:r>
        <w:separator/>
      </w:r>
    </w:p>
  </w:endnote>
  <w:endnote w:type="continuationSeparator" w:id="1">
    <w:p w:rsidR="006F6BE4" w:rsidRDefault="006F6BE4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E4" w:rsidRDefault="006F6BE4" w:rsidP="00C278F4">
      <w:r>
        <w:separator/>
      </w:r>
    </w:p>
  </w:footnote>
  <w:footnote w:type="continuationSeparator" w:id="1">
    <w:p w:rsidR="006F6BE4" w:rsidRDefault="006F6BE4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62762"/>
    <w:rsid w:val="0037618A"/>
    <w:rsid w:val="003818EE"/>
    <w:rsid w:val="003839E7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6F6BE4"/>
    <w:rsid w:val="00712549"/>
    <w:rsid w:val="007428D2"/>
    <w:rsid w:val="00754EB6"/>
    <w:rsid w:val="00760410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2FDA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2017-04-27T07:23:00Z</dcterms:modified>
</cp:coreProperties>
</file>