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A4DEC" w:rsidRPr="00DA4DEC" w:rsidRDefault="00DA4DEC" w:rsidP="00DA4DEC">
            <w:pPr>
              <w:wordWrap w:val="0"/>
              <w:topLinePunct/>
              <w:adjustRightInd w:val="0"/>
              <w:snapToGrid w:val="0"/>
              <w:spacing w:line="360" w:lineRule="auto"/>
              <w:jc w:val="center"/>
              <w:rPr>
                <w:rFonts w:ascii="Batang" w:eastAsia="Batang" w:hAnsi="Batang" w:cs="宋体"/>
                <w:b/>
                <w:bCs/>
                <w:snapToGrid w:val="0"/>
                <w:kern w:val="0"/>
                <w:sz w:val="26"/>
                <w:szCs w:val="21"/>
              </w:rPr>
            </w:pPr>
            <w:r w:rsidRPr="00DA4DEC">
              <w:rPr>
                <w:rFonts w:ascii="Batang" w:eastAsia="Batang" w:hAnsi="Batang" w:cs="宋体" w:hint="eastAsia"/>
                <w:b/>
                <w:bCs/>
                <w:snapToGrid w:val="0"/>
                <w:kern w:val="0"/>
                <w:sz w:val="26"/>
                <w:szCs w:val="21"/>
              </w:rPr>
              <w:t>최고인민법원의</w:t>
            </w:r>
          </w:p>
          <w:p w:rsidR="00DA4DEC" w:rsidRPr="00DA4DEC" w:rsidRDefault="00DA4DEC" w:rsidP="00DA4DEC">
            <w:pPr>
              <w:wordWrap w:val="0"/>
              <w:topLinePunct/>
              <w:adjustRightInd w:val="0"/>
              <w:snapToGrid w:val="0"/>
              <w:spacing w:line="360" w:lineRule="auto"/>
              <w:jc w:val="center"/>
              <w:rPr>
                <w:rFonts w:ascii="Batang" w:eastAsia="Batang" w:hAnsi="Batang" w:cs="宋体" w:hint="eastAsia"/>
                <w:b/>
                <w:bCs/>
                <w:snapToGrid w:val="0"/>
                <w:kern w:val="0"/>
                <w:sz w:val="26"/>
                <w:szCs w:val="21"/>
              </w:rPr>
            </w:pPr>
            <w:r w:rsidRPr="00DA4DEC">
              <w:rPr>
                <w:rFonts w:ascii="Batang" w:eastAsia="Batang" w:hAnsi="Batang" w:cs="宋体" w:hint="eastAsia"/>
                <w:b/>
                <w:bCs/>
                <w:snapToGrid w:val="0"/>
                <w:kern w:val="0"/>
                <w:sz w:val="26"/>
                <w:szCs w:val="21"/>
              </w:rPr>
              <w:t>국유토지사용권 계약 분쟁 안건 관련</w:t>
            </w:r>
          </w:p>
          <w:p w:rsidR="00DA4DEC" w:rsidRPr="00DA4DEC" w:rsidRDefault="00DA4DEC" w:rsidP="00DA4DEC">
            <w:pPr>
              <w:wordWrap w:val="0"/>
              <w:topLinePunct/>
              <w:adjustRightInd w:val="0"/>
              <w:snapToGrid w:val="0"/>
              <w:spacing w:line="360" w:lineRule="auto"/>
              <w:jc w:val="center"/>
              <w:rPr>
                <w:rFonts w:ascii="Batang" w:eastAsia="Batang" w:hAnsi="Batang" w:cs="宋体" w:hint="eastAsia"/>
                <w:b/>
                <w:bCs/>
                <w:snapToGrid w:val="0"/>
                <w:kern w:val="0"/>
                <w:sz w:val="26"/>
                <w:szCs w:val="21"/>
              </w:rPr>
            </w:pPr>
            <w:r w:rsidRPr="00DA4DEC">
              <w:rPr>
                <w:rFonts w:ascii="Batang" w:eastAsia="Batang" w:hAnsi="Batang" w:cs="宋体" w:hint="eastAsia"/>
                <w:b/>
                <w:bCs/>
                <w:snapToGrid w:val="0"/>
                <w:kern w:val="0"/>
                <w:sz w:val="26"/>
                <w:szCs w:val="21"/>
              </w:rPr>
              <w:t>적용법률 문제 심리에 관한 해석</w:t>
            </w:r>
          </w:p>
          <w:p w:rsidR="00DA4DEC" w:rsidRDefault="00DA4DEC" w:rsidP="00DA4DEC">
            <w:pPr>
              <w:wordWrap w:val="0"/>
              <w:topLinePunct/>
              <w:adjustRightInd w:val="0"/>
              <w:snapToGrid w:val="0"/>
              <w:spacing w:line="360" w:lineRule="auto"/>
              <w:rPr>
                <w:rFonts w:ascii="Gulim" w:eastAsia="Gulim" w:hAnsi="Gulim" w:hint="eastAsia"/>
                <w:szCs w:val="21"/>
                <w:lang w:eastAsia="ko-KR"/>
              </w:rPr>
            </w:pP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(2004년 11월 23일 최고인민법원 재판위원회 제1334회 회의 통과, 2020년 12월 23일 최고인민법원 재판위원회 제1823회 회의에서 통과한 &lt;최고인민법원의 ‘최고인민법원의 민사 재판 업무 중 ‘중화인민공화국 </w:t>
            </w:r>
            <w:proofErr w:type="spellStart"/>
            <w:r>
              <w:rPr>
                <w:rFonts w:ascii="Gulim" w:eastAsia="Gulim" w:hAnsi="Gulim" w:hint="eastAsia"/>
                <w:szCs w:val="21"/>
                <w:lang w:eastAsia="ko-KR"/>
              </w:rPr>
              <w:t>공회법</w:t>
            </w:r>
            <w:proofErr w:type="spellEnd"/>
            <w:r>
              <w:rPr>
                <w:rFonts w:ascii="Gulim" w:eastAsia="Gulim" w:hAnsi="Gulim" w:hint="eastAsia"/>
                <w:szCs w:val="21"/>
                <w:lang w:eastAsia="ko-KR"/>
              </w:rPr>
              <w:t xml:space="preserve">’을 적용하는 몇 가지 문제에 관한 해석’ 등 27건 </w:t>
            </w:r>
            <w:proofErr w:type="spellStart"/>
            <w:r>
              <w:rPr>
                <w:rFonts w:ascii="Gulim" w:eastAsia="Gulim" w:hAnsi="Gulim" w:hint="eastAsia"/>
                <w:szCs w:val="21"/>
                <w:lang w:eastAsia="ko-KR"/>
              </w:rPr>
              <w:t>민사류</w:t>
            </w:r>
            <w:proofErr w:type="spellEnd"/>
            <w:r>
              <w:rPr>
                <w:rFonts w:ascii="Gulim" w:eastAsia="Gulim" w:hAnsi="Gulim" w:hint="eastAsia"/>
                <w:szCs w:val="21"/>
                <w:lang w:eastAsia="ko-KR"/>
              </w:rPr>
              <w:t xml:space="preserve"> 사법 해석 개정에 관한 수정&gt;)</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국유토지사용권 계약 분쟁 안건을 정확하게 심리하고, 법에 따라 당사자의 합법적 권익을 법에 보호하기 위해서, &lt;중화인민공화국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&gt;, &lt;중화인민공화국 토지관리법&gt;, &lt;중화인민공화국 도시부동산관리법&gt; 등 법률규정에 근거하여 민사재판 이행을 결부시켜 본 해석을 제정한다.</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b/>
                <w:bCs/>
                <w:szCs w:val="21"/>
                <w:lang w:eastAsia="ko-KR"/>
              </w:rPr>
            </w:pPr>
            <w:r>
              <w:rPr>
                <w:rFonts w:ascii="Gulim" w:eastAsia="Gulim" w:hAnsi="Gulim" w:cs="Batang" w:hint="eastAsia"/>
                <w:b/>
                <w:bCs/>
                <w:szCs w:val="21"/>
                <w:lang w:eastAsia="ko-KR"/>
              </w:rPr>
              <w:t xml:space="preserve">1. 토지사용권 </w:t>
            </w:r>
            <w:proofErr w:type="spellStart"/>
            <w:r>
              <w:rPr>
                <w:rFonts w:ascii="Gulim" w:eastAsia="Gulim" w:hAnsi="Gulim" w:cs="Batang" w:hint="eastAsia"/>
                <w:b/>
                <w:bCs/>
                <w:szCs w:val="21"/>
                <w:lang w:eastAsia="ko-KR"/>
              </w:rPr>
              <w:t>출양계약</w:t>
            </w:r>
            <w:proofErr w:type="spellEnd"/>
            <w:r>
              <w:rPr>
                <w:rFonts w:ascii="Gulim" w:eastAsia="Gulim" w:hAnsi="Gulim" w:cs="Batang" w:hint="eastAsia"/>
                <w:b/>
                <w:bCs/>
                <w:szCs w:val="21"/>
                <w:lang w:eastAsia="ko-KR"/>
              </w:rPr>
              <w:t xml:space="preserve"> 분쟁</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제1조 </w:t>
            </w:r>
            <w:r>
              <w:rPr>
                <w:rFonts w:ascii="Gulim" w:eastAsia="Gulim" w:hAnsi="Gulim" w:cs="Batang" w:hint="eastAsia"/>
                <w:szCs w:val="21"/>
                <w:lang w:eastAsia="ko-KR"/>
              </w:rPr>
              <w:t xml:space="preserve">본 해석에서 일컫는 토지사용권 </w:t>
            </w:r>
            <w:proofErr w:type="spellStart"/>
            <w:r>
              <w:rPr>
                <w:rFonts w:ascii="Gulim" w:eastAsia="Gulim" w:hAnsi="Gulim" w:cs="Batang" w:hint="eastAsia"/>
                <w:szCs w:val="21"/>
                <w:lang w:eastAsia="ko-KR"/>
              </w:rPr>
              <w:t>출양계약이라</w:t>
            </w:r>
            <w:proofErr w:type="spellEnd"/>
            <w:r>
              <w:rPr>
                <w:rFonts w:ascii="Gulim" w:eastAsia="Gulim" w:hAnsi="Gulim" w:cs="Batang" w:hint="eastAsia"/>
                <w:szCs w:val="21"/>
                <w:lang w:eastAsia="ko-KR"/>
              </w:rPr>
              <w:t xml:space="preserve"> 함은 시(市), 현(縣) 인민정부 자연자원 주관부처가 </w:t>
            </w:r>
            <w:proofErr w:type="spellStart"/>
            <w:r>
              <w:rPr>
                <w:rFonts w:ascii="Gulim" w:eastAsia="Gulim" w:hAnsi="Gulim" w:cs="Batang" w:hint="eastAsia"/>
                <w:szCs w:val="21"/>
                <w:lang w:eastAsia="ko-KR"/>
              </w:rPr>
              <w:t>출양인으로서</w:t>
            </w:r>
            <w:proofErr w:type="spellEnd"/>
            <w:r>
              <w:rPr>
                <w:rFonts w:ascii="Gulim" w:eastAsia="Gulim" w:hAnsi="Gulim" w:cs="Batang" w:hint="eastAsia"/>
                <w:szCs w:val="21"/>
                <w:lang w:eastAsia="ko-KR"/>
              </w:rPr>
              <w:t xml:space="preserve"> 국유토지사용권을 일정 </w:t>
            </w:r>
            <w:proofErr w:type="spellStart"/>
            <w:r>
              <w:rPr>
                <w:rFonts w:ascii="Gulim" w:eastAsia="Gulim" w:hAnsi="Gulim" w:cs="Batang" w:hint="eastAsia"/>
                <w:szCs w:val="21"/>
                <w:lang w:eastAsia="ko-KR"/>
              </w:rPr>
              <w:t>연한내</w:t>
            </w:r>
            <w:proofErr w:type="spellEnd"/>
            <w:r>
              <w:rPr>
                <w:rFonts w:ascii="Gulim" w:eastAsia="Gulim" w:hAnsi="Gulim" w:cs="Batang" w:hint="eastAsia"/>
                <w:szCs w:val="21"/>
                <w:lang w:eastAsia="ko-KR"/>
              </w:rPr>
              <w:t xml:space="preserve"> 양수인에게 양여하고, 양수인이 토지사용권 </w:t>
            </w:r>
            <w:proofErr w:type="spellStart"/>
            <w:r>
              <w:rPr>
                <w:rFonts w:ascii="Gulim" w:eastAsia="Gulim" w:hAnsi="Gulim" w:cs="Batang" w:hint="eastAsia"/>
                <w:szCs w:val="21"/>
                <w:lang w:eastAsia="ko-KR"/>
              </w:rPr>
              <w:t>출양금을</w:t>
            </w:r>
            <w:proofErr w:type="spellEnd"/>
            <w:r>
              <w:rPr>
                <w:rFonts w:ascii="Gulim" w:eastAsia="Gulim" w:hAnsi="Gulim" w:cs="Batang" w:hint="eastAsia"/>
                <w:szCs w:val="21"/>
                <w:lang w:eastAsia="ko-KR"/>
              </w:rPr>
              <w:t xml:space="preserve"> 지불하는 계약을 뜻한다.</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제2조 </w:t>
            </w:r>
            <w:proofErr w:type="spellStart"/>
            <w:r>
              <w:rPr>
                <w:rFonts w:ascii="Gulim" w:eastAsia="Gulim" w:hAnsi="Gulim" w:cs="Batang" w:hint="eastAsia"/>
                <w:szCs w:val="21"/>
                <w:lang w:eastAsia="ko-KR"/>
              </w:rPr>
              <w:t>개발구</w:t>
            </w:r>
            <w:proofErr w:type="spellEnd"/>
            <w:r>
              <w:rPr>
                <w:rFonts w:ascii="Gulim" w:eastAsia="Gulim" w:hAnsi="Gulim" w:cs="Batang" w:hint="eastAsia"/>
                <w:szCs w:val="21"/>
                <w:lang w:eastAsia="ko-KR"/>
              </w:rPr>
              <w:t xml:space="preserve"> 관리위원회가 </w:t>
            </w:r>
            <w:proofErr w:type="spellStart"/>
            <w:r>
              <w:rPr>
                <w:rFonts w:ascii="Gulim" w:eastAsia="Gulim" w:hAnsi="Gulim" w:cs="Batang" w:hint="eastAsia"/>
                <w:szCs w:val="21"/>
                <w:lang w:eastAsia="ko-KR"/>
              </w:rPr>
              <w:t>출양인으로서</w:t>
            </w:r>
            <w:proofErr w:type="spellEnd"/>
            <w:r>
              <w:rPr>
                <w:rFonts w:ascii="Gulim" w:eastAsia="Gulim" w:hAnsi="Gulim" w:cs="Batang" w:hint="eastAsia"/>
                <w:szCs w:val="21"/>
                <w:lang w:eastAsia="ko-KR"/>
              </w:rPr>
              <w:t xml:space="preserve"> 양수인과 체결한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계약은 무효를 인정하여야 한다. </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본 해석 실시 전, </w:t>
            </w:r>
            <w:proofErr w:type="spellStart"/>
            <w:r>
              <w:rPr>
                <w:rFonts w:ascii="Gulim" w:eastAsia="Gulim" w:hAnsi="Gulim" w:cs="Batang" w:hint="eastAsia"/>
                <w:szCs w:val="21"/>
                <w:lang w:eastAsia="ko-KR"/>
              </w:rPr>
              <w:t>개발구</w:t>
            </w:r>
            <w:proofErr w:type="spellEnd"/>
            <w:r>
              <w:rPr>
                <w:rFonts w:ascii="Gulim" w:eastAsia="Gulim" w:hAnsi="Gulim" w:cs="Batang" w:hint="eastAsia"/>
                <w:szCs w:val="21"/>
                <w:lang w:eastAsia="ko-KR"/>
              </w:rPr>
              <w:t xml:space="preserve"> 관리위원회가 </w:t>
            </w:r>
            <w:proofErr w:type="spellStart"/>
            <w:r>
              <w:rPr>
                <w:rFonts w:ascii="Gulim" w:eastAsia="Gulim" w:hAnsi="Gulim" w:cs="Batang" w:hint="eastAsia"/>
                <w:szCs w:val="21"/>
                <w:lang w:eastAsia="ko-KR"/>
              </w:rPr>
              <w:t>출양인으로서</w:t>
            </w:r>
            <w:proofErr w:type="spellEnd"/>
            <w:r>
              <w:rPr>
                <w:rFonts w:ascii="Gulim" w:eastAsia="Gulim" w:hAnsi="Gulim" w:cs="Batang" w:hint="eastAsia"/>
                <w:szCs w:val="21"/>
                <w:lang w:eastAsia="ko-KR"/>
              </w:rPr>
              <w:t xml:space="preserve"> 양수인과 체결한 토지사용권 </w:t>
            </w:r>
            <w:proofErr w:type="spellStart"/>
            <w:r>
              <w:rPr>
                <w:rFonts w:ascii="Gulim" w:eastAsia="Gulim" w:hAnsi="Gulim" w:cs="Batang" w:hint="eastAsia"/>
                <w:szCs w:val="21"/>
                <w:lang w:eastAsia="ko-KR"/>
              </w:rPr>
              <w:t>출양계약은</w:t>
            </w:r>
            <w:proofErr w:type="spellEnd"/>
            <w:r>
              <w:rPr>
                <w:rFonts w:ascii="Gulim" w:eastAsia="Gulim" w:hAnsi="Gulim" w:cs="Batang" w:hint="eastAsia"/>
                <w:szCs w:val="21"/>
                <w:lang w:eastAsia="ko-KR"/>
              </w:rPr>
              <w:t xml:space="preserve"> </w:t>
            </w:r>
            <w:proofErr w:type="spellStart"/>
            <w:r>
              <w:rPr>
                <w:rFonts w:ascii="Gulim" w:eastAsia="Gulim" w:hAnsi="Gulim" w:cs="Batang" w:hint="eastAsia"/>
                <w:szCs w:val="21"/>
                <w:lang w:eastAsia="ko-KR"/>
              </w:rPr>
              <w:t>기소전</w:t>
            </w:r>
            <w:proofErr w:type="spellEnd"/>
            <w:r>
              <w:rPr>
                <w:rFonts w:ascii="Gulim" w:eastAsia="Gulim" w:hAnsi="Gulim" w:cs="Batang" w:hint="eastAsia"/>
                <w:szCs w:val="21"/>
                <w:lang w:eastAsia="ko-KR"/>
              </w:rPr>
              <w:t xml:space="preserve"> 시(市), 현(縣) 인민정부 자연자원 주관부처가 소급 적용할 경우, 유효한 계약으</w:t>
            </w:r>
            <w:r>
              <w:rPr>
                <w:rFonts w:ascii="Gulim" w:eastAsia="Gulim" w:hAnsi="Gulim" w:cs="Batang" w:hint="eastAsia"/>
                <w:szCs w:val="21"/>
                <w:lang w:eastAsia="ko-KR"/>
              </w:rPr>
              <w:lastRenderedPageBreak/>
              <w:t xml:space="preserve">로 인정할 수 있다. </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제3조 </w:t>
            </w:r>
            <w:r>
              <w:rPr>
                <w:rFonts w:ascii="Gulim" w:eastAsia="Gulim" w:hAnsi="Gulim" w:cs="Batang" w:hint="eastAsia"/>
                <w:szCs w:val="21"/>
                <w:lang w:eastAsia="ko-KR"/>
              </w:rPr>
              <w:t xml:space="preserve">시(市), 현(縣) 인민정부의 비준을 거쳐 협의 방식으로 </w:t>
            </w:r>
            <w:proofErr w:type="spellStart"/>
            <w:r>
              <w:rPr>
                <w:rFonts w:ascii="Gulim" w:eastAsia="Gulim" w:hAnsi="Gulim" w:cs="Batang" w:hint="eastAsia"/>
                <w:szCs w:val="21"/>
                <w:lang w:eastAsia="ko-KR"/>
              </w:rPr>
              <w:t>출양하는</w:t>
            </w:r>
            <w:proofErr w:type="spellEnd"/>
            <w:r>
              <w:rPr>
                <w:rFonts w:ascii="Gulim" w:eastAsia="Gulim" w:hAnsi="Gulim" w:cs="Batang" w:hint="eastAsia"/>
                <w:szCs w:val="21"/>
                <w:lang w:eastAsia="ko-KR"/>
              </w:rPr>
              <w:t xml:space="preserve"> 토지사용권에 동의하고, 토지사용권 </w:t>
            </w:r>
            <w:proofErr w:type="spellStart"/>
            <w:r>
              <w:rPr>
                <w:rFonts w:ascii="Gulim" w:eastAsia="Gulim" w:hAnsi="Gulim" w:cs="Batang" w:hint="eastAsia"/>
                <w:szCs w:val="21"/>
                <w:lang w:eastAsia="ko-KR"/>
              </w:rPr>
              <w:t>출양금이</w:t>
            </w:r>
            <w:proofErr w:type="spellEnd"/>
            <w:r>
              <w:rPr>
                <w:rFonts w:ascii="Gulim" w:eastAsia="Gulim" w:hAnsi="Gulim" w:cs="Batang" w:hint="eastAsia"/>
                <w:szCs w:val="21"/>
                <w:lang w:eastAsia="ko-KR"/>
              </w:rPr>
              <w:t xml:space="preserve"> 계약 </w:t>
            </w:r>
            <w:proofErr w:type="spellStart"/>
            <w:r>
              <w:rPr>
                <w:rFonts w:ascii="Gulim" w:eastAsia="Gulim" w:hAnsi="Gulim" w:cs="Batang" w:hint="eastAsia"/>
                <w:szCs w:val="21"/>
                <w:lang w:eastAsia="ko-KR"/>
              </w:rPr>
              <w:t>체결시</w:t>
            </w:r>
            <w:proofErr w:type="spellEnd"/>
            <w:r>
              <w:rPr>
                <w:rFonts w:ascii="Gulim" w:eastAsia="Gulim" w:hAnsi="Gulim" w:cs="Batang" w:hint="eastAsia"/>
                <w:szCs w:val="21"/>
                <w:lang w:eastAsia="ko-KR"/>
              </w:rPr>
              <w:t xml:space="preserve"> 현지 정부가 국가 규정에 따라 확정한 최저가가 보다 낮을 경우,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계약에 약정된 가격조항은 무효로 인정하여야 한다. </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당사자가 계약 </w:t>
            </w:r>
            <w:proofErr w:type="spellStart"/>
            <w:r>
              <w:rPr>
                <w:rFonts w:ascii="Gulim" w:eastAsia="Gulim" w:hAnsi="Gulim" w:cs="Batang" w:hint="eastAsia"/>
                <w:szCs w:val="21"/>
                <w:lang w:eastAsia="ko-KR"/>
              </w:rPr>
              <w:t>체결시</w:t>
            </w:r>
            <w:proofErr w:type="spellEnd"/>
            <w:r>
              <w:rPr>
                <w:rFonts w:ascii="Gulim" w:eastAsia="Gulim" w:hAnsi="Gulim" w:cs="Batang" w:hint="eastAsia"/>
                <w:szCs w:val="21"/>
                <w:lang w:eastAsia="ko-KR"/>
              </w:rPr>
              <w:t xml:space="preserve"> 시장평가가격에 따라 토지사용권 </w:t>
            </w:r>
            <w:proofErr w:type="spellStart"/>
            <w:r>
              <w:rPr>
                <w:rFonts w:ascii="Gulim" w:eastAsia="Gulim" w:hAnsi="Gulim" w:cs="Batang" w:hint="eastAsia"/>
                <w:szCs w:val="21"/>
                <w:lang w:eastAsia="ko-KR"/>
              </w:rPr>
              <w:t>출양금을</w:t>
            </w:r>
            <w:proofErr w:type="spellEnd"/>
            <w:r>
              <w:rPr>
                <w:rFonts w:ascii="Gulim" w:eastAsia="Gulim" w:hAnsi="Gulim" w:cs="Batang" w:hint="eastAsia"/>
                <w:szCs w:val="21"/>
                <w:lang w:eastAsia="ko-KR"/>
              </w:rPr>
              <w:t xml:space="preserve"> 납부할 경우 이를 지지하여야 한다. 양수인이 시장평가가격에 따라 충당을 동의하지 않고 계약 해지를 요구할 경우 이를 지지하여야 한다. 이로 인해 초래되는 손실은 당사자가 과실에 따른 책임을 부담한다.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제4조 </w:t>
            </w:r>
            <w:r>
              <w:rPr>
                <w:rFonts w:ascii="Gulim" w:eastAsia="Gulim" w:hAnsi="Gulim" w:cs="Batang" w:hint="eastAsia"/>
                <w:szCs w:val="21"/>
                <w:lang w:eastAsia="ko-KR"/>
              </w:rPr>
              <w:t xml:space="preserve">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계약의 </w:t>
            </w:r>
            <w:proofErr w:type="spellStart"/>
            <w:r>
              <w:rPr>
                <w:rFonts w:ascii="Gulim" w:eastAsia="Gulim" w:hAnsi="Gulim" w:cs="Batang" w:hint="eastAsia"/>
                <w:szCs w:val="21"/>
                <w:lang w:eastAsia="ko-KR"/>
              </w:rPr>
              <w:t>출양인이</w:t>
            </w:r>
            <w:proofErr w:type="spellEnd"/>
            <w:r>
              <w:rPr>
                <w:rFonts w:ascii="Gulim" w:eastAsia="Gulim" w:hAnsi="Gulim" w:cs="Batang" w:hint="eastAsia"/>
                <w:szCs w:val="21"/>
                <w:lang w:eastAsia="ko-KR"/>
              </w:rPr>
              <w:t xml:space="preserve">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비준 수속을 처리하지 않아 토지를 교부할 수 없게 되어 양수인이 계약 해지를 요구할 경우, 이를 지지하여야 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제5조 </w:t>
            </w:r>
            <w:r>
              <w:rPr>
                <w:rFonts w:ascii="Gulim" w:eastAsia="Gulim" w:hAnsi="Gulim" w:cs="Batang" w:hint="eastAsia"/>
                <w:szCs w:val="21"/>
                <w:lang w:eastAsia="ko-KR"/>
              </w:rPr>
              <w:t xml:space="preserve">양수인이 </w:t>
            </w:r>
            <w:proofErr w:type="spellStart"/>
            <w:r>
              <w:rPr>
                <w:rFonts w:ascii="Gulim" w:eastAsia="Gulim" w:hAnsi="Gulim" w:cs="Batang" w:hint="eastAsia"/>
                <w:szCs w:val="21"/>
                <w:lang w:eastAsia="ko-KR"/>
              </w:rPr>
              <w:t>출양인과</w:t>
            </w:r>
            <w:proofErr w:type="spellEnd"/>
            <w:r>
              <w:rPr>
                <w:rFonts w:ascii="Gulim" w:eastAsia="Gulim" w:hAnsi="Gulim" w:cs="Batang" w:hint="eastAsia"/>
                <w:szCs w:val="21"/>
                <w:lang w:eastAsia="ko-KR"/>
              </w:rPr>
              <w:t xml:space="preserve"> 시(市), 현(縣) 인민정부 </w:t>
            </w:r>
            <w:proofErr w:type="spellStart"/>
            <w:r>
              <w:rPr>
                <w:rFonts w:ascii="Gulim" w:eastAsia="Gulim" w:hAnsi="Gulim" w:cs="Batang" w:hint="eastAsia"/>
                <w:szCs w:val="21"/>
                <w:lang w:eastAsia="ko-KR"/>
              </w:rPr>
              <w:t>도시규획</w:t>
            </w:r>
            <w:proofErr w:type="spellEnd"/>
            <w:r>
              <w:rPr>
                <w:rFonts w:ascii="Gulim" w:eastAsia="Gulim" w:hAnsi="Gulim" w:cs="Batang" w:hint="eastAsia"/>
                <w:szCs w:val="21"/>
                <w:lang w:eastAsia="ko-KR"/>
              </w:rPr>
              <w:t xml:space="preserve"> 행정주관부처 동의를 거쳐,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계약에 약정된 토지 용도를 변경할 경우, 당사자가 </w:t>
            </w:r>
            <w:proofErr w:type="spellStart"/>
            <w:r>
              <w:rPr>
                <w:rFonts w:ascii="Gulim" w:eastAsia="Gulim" w:hAnsi="Gulim" w:cs="Batang" w:hint="eastAsia"/>
                <w:szCs w:val="21"/>
                <w:lang w:eastAsia="ko-KR"/>
              </w:rPr>
              <w:t>기소시</w:t>
            </w:r>
            <w:proofErr w:type="spellEnd"/>
            <w:r>
              <w:rPr>
                <w:rFonts w:ascii="Gulim" w:eastAsia="Gulim" w:hAnsi="Gulim" w:cs="Batang" w:hint="eastAsia"/>
                <w:szCs w:val="21"/>
                <w:lang w:eastAsia="ko-KR"/>
              </w:rPr>
              <w:t xml:space="preserve"> 동일 유형 용도의 </w:t>
            </w:r>
            <w:proofErr w:type="spellStart"/>
            <w:r>
              <w:rPr>
                <w:rFonts w:ascii="Gulim" w:eastAsia="Gulim" w:hAnsi="Gulim" w:cs="Batang" w:hint="eastAsia"/>
                <w:szCs w:val="21"/>
                <w:lang w:eastAsia="ko-KR"/>
              </w:rPr>
              <w:t>토지출양금</w:t>
            </w:r>
            <w:proofErr w:type="spellEnd"/>
            <w:r>
              <w:rPr>
                <w:rFonts w:ascii="Gulim" w:eastAsia="Gulim" w:hAnsi="Gulim" w:cs="Batang" w:hint="eastAsia"/>
                <w:szCs w:val="21"/>
                <w:lang w:eastAsia="ko-KR"/>
              </w:rPr>
              <w:t xml:space="preserve"> 기준에 따라 </w:t>
            </w:r>
            <w:proofErr w:type="spellStart"/>
            <w:r>
              <w:rPr>
                <w:rFonts w:ascii="Gulim" w:eastAsia="Gulim" w:hAnsi="Gulim" w:cs="Batang" w:hint="eastAsia"/>
                <w:szCs w:val="21"/>
                <w:lang w:eastAsia="ko-KR"/>
              </w:rPr>
              <w:t>토지출양금</w:t>
            </w:r>
            <w:proofErr w:type="spellEnd"/>
            <w:r>
              <w:rPr>
                <w:rFonts w:ascii="Gulim" w:eastAsia="Gulim" w:hAnsi="Gulim" w:cs="Batang" w:hint="eastAsia"/>
                <w:szCs w:val="21"/>
                <w:lang w:eastAsia="ko-KR"/>
              </w:rPr>
              <w:t xml:space="preserve"> 조정을 요구할 경우 이를 지지하여야 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제6조 </w:t>
            </w:r>
            <w:r>
              <w:rPr>
                <w:rFonts w:ascii="Gulim" w:eastAsia="Gulim" w:hAnsi="Gulim" w:cs="Batang" w:hint="eastAsia"/>
                <w:szCs w:val="21"/>
                <w:lang w:eastAsia="ko-KR"/>
              </w:rPr>
              <w:t xml:space="preserve">양수인이 임의로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계약에서 약정한 토지 용도를 변경하여, </w:t>
            </w:r>
            <w:proofErr w:type="spellStart"/>
            <w:r>
              <w:rPr>
                <w:rFonts w:ascii="Gulim" w:eastAsia="Gulim" w:hAnsi="Gulim" w:cs="Batang" w:hint="eastAsia"/>
                <w:szCs w:val="21"/>
                <w:lang w:eastAsia="ko-KR"/>
              </w:rPr>
              <w:t>출양인이</w:t>
            </w:r>
            <w:proofErr w:type="spellEnd"/>
            <w:r>
              <w:rPr>
                <w:rFonts w:ascii="Gulim" w:eastAsia="Gulim" w:hAnsi="Gulim" w:cs="Batang" w:hint="eastAsia"/>
                <w:szCs w:val="21"/>
                <w:lang w:eastAsia="ko-KR"/>
              </w:rPr>
              <w:t xml:space="preserve"> 계약 해지를 요구할 경우, 이를 지지하여야 한다. </w:t>
            </w:r>
          </w:p>
          <w:p w:rsidR="00DA4DEC" w:rsidRDefault="00DA4DEC" w:rsidP="00DA4DEC">
            <w:pPr>
              <w:wordWrap w:val="0"/>
              <w:topLinePunct/>
              <w:adjustRightInd w:val="0"/>
              <w:snapToGrid w:val="0"/>
              <w:spacing w:line="360" w:lineRule="auto"/>
              <w:ind w:firstLineChars="100" w:firstLine="210"/>
              <w:rPr>
                <w:rFonts w:ascii="Gulim" w:eastAsia="Gulim" w:hAnsi="Gulim" w:cs="Batang" w:hint="eastAsia"/>
                <w:szCs w:val="21"/>
                <w:lang w:eastAsia="ko-KR"/>
              </w:rPr>
            </w:pP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b/>
                <w:bCs/>
                <w:szCs w:val="21"/>
                <w:lang w:eastAsia="ko-KR"/>
              </w:rPr>
            </w:pPr>
            <w:r>
              <w:rPr>
                <w:rFonts w:ascii="Gulim" w:eastAsia="Gulim" w:hAnsi="Gulim" w:cs="Batang" w:hint="eastAsia"/>
                <w:b/>
                <w:bCs/>
                <w:szCs w:val="21"/>
                <w:lang w:eastAsia="ko-KR"/>
              </w:rPr>
              <w:t>2. 토지사용권 양도계약 분쟁</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제7조 </w:t>
            </w:r>
            <w:r>
              <w:rPr>
                <w:rFonts w:ascii="Gulim" w:eastAsia="Gulim" w:hAnsi="Gulim" w:cs="Batang" w:hint="eastAsia"/>
                <w:szCs w:val="21"/>
                <w:lang w:eastAsia="ko-KR"/>
              </w:rPr>
              <w:t xml:space="preserve">본 해석에서 일컫는 토지사용권 양도 계약이라 함은 토지사용권자가 양도인으로서 </w:t>
            </w:r>
            <w:proofErr w:type="spellStart"/>
            <w:r>
              <w:rPr>
                <w:rFonts w:ascii="Gulim" w:eastAsia="Gulim" w:hAnsi="Gulim" w:cs="Batang" w:hint="eastAsia"/>
                <w:szCs w:val="21"/>
                <w:lang w:eastAsia="ko-KR"/>
              </w:rPr>
              <w:t>출양한</w:t>
            </w:r>
            <w:proofErr w:type="spellEnd"/>
            <w:r>
              <w:rPr>
                <w:rFonts w:ascii="Gulim" w:eastAsia="Gulim" w:hAnsi="Gulim" w:cs="Batang" w:hint="eastAsia"/>
                <w:szCs w:val="21"/>
                <w:lang w:eastAsia="ko-KR"/>
              </w:rPr>
              <w:t xml:space="preserve"> 토지사용권을 양수인에게 양도하고, 양</w:t>
            </w:r>
            <w:r>
              <w:rPr>
                <w:rFonts w:ascii="Gulim" w:eastAsia="Gulim" w:hAnsi="Gulim" w:cs="Batang" w:hint="eastAsia"/>
                <w:szCs w:val="21"/>
                <w:lang w:eastAsia="ko-KR"/>
              </w:rPr>
              <w:lastRenderedPageBreak/>
              <w:t xml:space="preserve">수인이 대금을 지불하는 계약을 뜻한다. </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제8조 </w:t>
            </w:r>
            <w:r>
              <w:rPr>
                <w:rFonts w:ascii="Gulim" w:eastAsia="Gulim" w:hAnsi="Gulim" w:cs="Batang" w:hint="eastAsia"/>
                <w:szCs w:val="21"/>
                <w:lang w:eastAsia="ko-KR"/>
              </w:rPr>
              <w:t xml:space="preserve">토지사용권자가 양도인으로서 양수인과 토지사용권 양도 계약을 체결한 후, 당사자 일방이 쌍방 간의 토지사용권 변경등기 수속을 처리하지 않은 사유로 계약 무효 확인을 요구할 경우에는 지지하지 않는다. </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제9조 </w:t>
            </w:r>
            <w:r>
              <w:rPr>
                <w:rFonts w:ascii="Gulim" w:eastAsia="Gulim" w:hAnsi="Gulim" w:cs="Batang" w:hint="eastAsia"/>
                <w:szCs w:val="21"/>
                <w:lang w:eastAsia="ko-KR"/>
              </w:rPr>
              <w:t xml:space="preserve">토지사용권자가 양도인으로서 동일한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토지사용권에 관하여 여러 건의 양도 계약을 체결하고, 양도 계약이 유효하다는 상황 하에 양수인 모두 계약 이행을 요구할 경우, 아래 상황에 따라 구분하여 처리한다.  </w:t>
            </w:r>
          </w:p>
          <w:p w:rsidR="00DA4DEC" w:rsidRDefault="00DA4DEC" w:rsidP="00DA4DEC">
            <w:pPr>
              <w:wordWrap w:val="0"/>
              <w:topLinePunct/>
              <w:adjustRightInd w:val="0"/>
              <w:snapToGrid w:val="0"/>
              <w:spacing w:line="360" w:lineRule="auto"/>
              <w:ind w:firstLineChars="200" w:firstLine="420"/>
              <w:rPr>
                <w:rFonts w:ascii="Gulim" w:eastAsia="Gulim" w:hAnsi="Gulim" w:hint="eastAsia"/>
                <w:szCs w:val="21"/>
                <w:lang w:eastAsia="ko-KR"/>
              </w:rPr>
            </w:pPr>
            <w:r>
              <w:rPr>
                <w:rFonts w:ascii="Gulim" w:eastAsia="Gulim" w:hAnsi="Gulim" w:hint="eastAsia"/>
                <w:szCs w:val="21"/>
                <w:lang w:eastAsia="ko-KR"/>
              </w:rPr>
              <w:t>9.1 토지사용권 변경등기 수속을 이미 처리한 양수인이 양도인에게 토지 교부 등 계약 의무 이행을 요구할 경우 이를 지지하여야 한다.</w:t>
            </w:r>
          </w:p>
          <w:p w:rsidR="00DA4DEC" w:rsidRDefault="00DA4DEC" w:rsidP="00DA4DEC">
            <w:pPr>
              <w:wordWrap w:val="0"/>
              <w:topLinePunct/>
              <w:adjustRightInd w:val="0"/>
              <w:snapToGrid w:val="0"/>
              <w:spacing w:line="360" w:lineRule="auto"/>
              <w:ind w:firstLineChars="200" w:firstLine="420"/>
              <w:rPr>
                <w:rFonts w:ascii="Gulim" w:eastAsia="Gulim" w:hAnsi="Gulim" w:hint="eastAsia"/>
                <w:szCs w:val="21"/>
                <w:lang w:eastAsia="ko-KR"/>
              </w:rPr>
            </w:pPr>
            <w:r>
              <w:rPr>
                <w:rFonts w:ascii="Gulim" w:eastAsia="Gulim" w:hAnsi="Gulim" w:hint="eastAsia"/>
                <w:szCs w:val="21"/>
                <w:lang w:eastAsia="ko-KR"/>
              </w:rPr>
              <w:t xml:space="preserve">9.2 토지사용권 변경등기 수속을 모두 처리하지 않고, 이미 합법적으로 점유한 투자개발 토지의 양수인이 양도자가 토지사용권 변경등기 등 계약 의무를 이행하도록 요구할 경우 이를 지지하여야 한다. </w:t>
            </w:r>
          </w:p>
          <w:p w:rsidR="00DA4DEC" w:rsidRDefault="00DA4DEC" w:rsidP="00DA4DEC">
            <w:pPr>
              <w:wordWrap w:val="0"/>
              <w:topLinePunct/>
              <w:adjustRightInd w:val="0"/>
              <w:snapToGrid w:val="0"/>
              <w:spacing w:line="360" w:lineRule="auto"/>
              <w:ind w:firstLineChars="200" w:firstLine="420"/>
              <w:rPr>
                <w:rFonts w:ascii="Gulim" w:eastAsia="Gulim" w:hAnsi="Gulim" w:hint="eastAsia"/>
                <w:szCs w:val="21"/>
                <w:lang w:eastAsia="ko-KR"/>
              </w:rPr>
            </w:pPr>
            <w:r>
              <w:rPr>
                <w:rFonts w:ascii="Gulim" w:eastAsia="Gulim" w:hAnsi="Gulim" w:hint="eastAsia"/>
                <w:szCs w:val="21"/>
                <w:lang w:eastAsia="ko-KR"/>
              </w:rPr>
              <w:t xml:space="preserve">9.3 토지사용권 변경등기 수속을 모두 처리하지 않고, 또한 합법적으로 투자 개발 토지를 합법적으로 점유하지 않았으며, </w:t>
            </w:r>
            <w:proofErr w:type="spellStart"/>
            <w:r>
              <w:rPr>
                <w:rFonts w:ascii="Gulim" w:eastAsia="Gulim" w:hAnsi="Gulim" w:hint="eastAsia"/>
                <w:szCs w:val="21"/>
                <w:lang w:eastAsia="ko-KR"/>
              </w:rPr>
              <w:t>토지양도금을</w:t>
            </w:r>
            <w:proofErr w:type="spellEnd"/>
            <w:r>
              <w:rPr>
                <w:rFonts w:ascii="Gulim" w:eastAsia="Gulim" w:hAnsi="Gulim" w:hint="eastAsia"/>
                <w:szCs w:val="21"/>
                <w:lang w:eastAsia="ko-KR"/>
              </w:rPr>
              <w:t xml:space="preserve"> 선지급하는 양수인이 양도인에게 토지 교부와 토지사용권 변경등기 등 계약 의무 이행을 요구할 경우 이를 지지하여야 한다. </w:t>
            </w:r>
          </w:p>
          <w:p w:rsidR="00DA4DEC" w:rsidRDefault="00DA4DEC" w:rsidP="00DA4DEC">
            <w:pPr>
              <w:wordWrap w:val="0"/>
              <w:topLinePunct/>
              <w:adjustRightInd w:val="0"/>
              <w:snapToGrid w:val="0"/>
              <w:spacing w:line="360" w:lineRule="auto"/>
              <w:ind w:firstLine="444"/>
              <w:rPr>
                <w:rFonts w:ascii="Gulim" w:eastAsia="Gulim" w:hAnsi="Gulim" w:hint="eastAsia"/>
                <w:szCs w:val="21"/>
                <w:lang w:eastAsia="ko-KR"/>
              </w:rPr>
            </w:pPr>
            <w:r>
              <w:rPr>
                <w:rFonts w:ascii="Gulim" w:eastAsia="Gulim" w:hAnsi="Gulim" w:hint="eastAsia"/>
                <w:szCs w:val="21"/>
                <w:lang w:eastAsia="ko-KR"/>
              </w:rPr>
              <w:t>9.4 계약이 모두 이행되지 않고, 법에 의거 먼저 계약한 양수인이 계약 이행을 요구할 경우 이를 지지하여야 한다.</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토지사용권을 취득하지 못한 양수인이 계약 해지, 손해 배상을 요구할 경우, 민법전의 유관 규정에 따라 처리한다. </w:t>
            </w:r>
          </w:p>
          <w:p w:rsidR="00DA4DEC" w:rsidRDefault="00DA4DEC" w:rsidP="00DA4DEC">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lastRenderedPageBreak/>
              <w:t xml:space="preserve">제10조 </w:t>
            </w:r>
            <w:proofErr w:type="spellStart"/>
            <w:r>
              <w:rPr>
                <w:rFonts w:ascii="Gulim" w:eastAsia="Gulim" w:hAnsi="Gulim" w:cs="Batang" w:hint="eastAsia"/>
                <w:szCs w:val="21"/>
                <w:lang w:eastAsia="ko-KR"/>
              </w:rPr>
              <w:t>토지사용권자와</w:t>
            </w:r>
            <w:proofErr w:type="spellEnd"/>
            <w:r>
              <w:rPr>
                <w:rFonts w:ascii="Gulim" w:eastAsia="Gulim" w:hAnsi="Gulim" w:cs="Batang" w:hint="eastAsia"/>
                <w:szCs w:val="21"/>
                <w:lang w:eastAsia="ko-KR"/>
              </w:rPr>
              <w:t xml:space="preserve"> 양수인이 </w:t>
            </w:r>
            <w:proofErr w:type="spellStart"/>
            <w:r>
              <w:rPr>
                <w:rFonts w:ascii="Gulim" w:eastAsia="Gulim" w:hAnsi="Gulim" w:cs="Batang" w:hint="eastAsia"/>
                <w:szCs w:val="21"/>
                <w:lang w:eastAsia="ko-KR"/>
              </w:rPr>
              <w:t>획발</w:t>
            </w:r>
            <w:proofErr w:type="spellEnd"/>
            <w:r>
              <w:rPr>
                <w:rFonts w:ascii="Gulim" w:eastAsia="Gulim" w:hAnsi="Gulim" w:cs="Batang" w:hint="eastAsia"/>
                <w:szCs w:val="21"/>
                <w:lang w:eastAsia="ko-KR"/>
              </w:rPr>
              <w:t>(</w:t>
            </w:r>
            <w:proofErr w:type="spellStart"/>
            <w:r>
              <w:rPr>
                <w:rFonts w:ascii="微软雅黑" w:eastAsia="微软雅黑" w:hAnsi="微软雅黑" w:cs="微软雅黑" w:hint="eastAsia"/>
                <w:szCs w:val="21"/>
                <w:lang w:eastAsia="ko-KR"/>
              </w:rPr>
              <w:t>划拨</w:t>
            </w:r>
            <w:proofErr w:type="spellEnd"/>
            <w:r>
              <w:rPr>
                <w:rFonts w:ascii="Gulim" w:eastAsia="Gulim" w:hAnsi="Gulim" w:cs="Batang" w:hint="eastAsia"/>
                <w:szCs w:val="21"/>
                <w:lang w:eastAsia="ko-KR"/>
              </w:rPr>
              <w:t>)</w:t>
            </w:r>
            <w:r>
              <w:rPr>
                <w:rStyle w:val="ad"/>
                <w:rFonts w:ascii="Gulim" w:eastAsia="Gulim" w:hAnsi="Gulim" w:cs="Batang"/>
                <w:szCs w:val="21"/>
                <w:lang w:eastAsia="ko-KR"/>
              </w:rPr>
              <w:footnoteReference w:id="1"/>
            </w:r>
            <w:r>
              <w:rPr>
                <w:rFonts w:ascii="Gulim" w:eastAsia="Gulim" w:hAnsi="Gulim" w:cs="Batang" w:hint="eastAsia"/>
                <w:szCs w:val="21"/>
                <w:lang w:eastAsia="ko-KR"/>
              </w:rPr>
              <w:t xml:space="preserve">방식의 토지사용권을 양도하기로 계약을 체결하고, </w:t>
            </w:r>
            <w:proofErr w:type="spellStart"/>
            <w:r>
              <w:rPr>
                <w:rFonts w:ascii="Gulim" w:eastAsia="Gulim" w:hAnsi="Gulim" w:cs="Batang" w:hint="eastAsia"/>
                <w:szCs w:val="21"/>
                <w:lang w:eastAsia="ko-KR"/>
              </w:rPr>
              <w:t>기소전</w:t>
            </w:r>
            <w:proofErr w:type="spellEnd"/>
            <w:r>
              <w:rPr>
                <w:rFonts w:ascii="Gulim" w:eastAsia="Gulim" w:hAnsi="Gulim" w:cs="Batang" w:hint="eastAsia"/>
                <w:szCs w:val="21"/>
                <w:lang w:eastAsia="ko-KR"/>
              </w:rPr>
              <w:t xml:space="preserve"> 비준권을 가진 인민정부의 양도 동의를 거쳐 양수인이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수속을 처리할 경우, </w:t>
            </w:r>
            <w:proofErr w:type="spellStart"/>
            <w:r>
              <w:rPr>
                <w:rFonts w:ascii="Gulim" w:eastAsia="Gulim" w:hAnsi="Gulim" w:cs="Batang" w:hint="eastAsia"/>
                <w:szCs w:val="21"/>
                <w:lang w:eastAsia="ko-KR"/>
              </w:rPr>
              <w:t>토지사용권자와</w:t>
            </w:r>
            <w:proofErr w:type="spellEnd"/>
            <w:r>
              <w:rPr>
                <w:rFonts w:ascii="Gulim" w:eastAsia="Gulim" w:hAnsi="Gulim" w:cs="Batang" w:hint="eastAsia"/>
                <w:szCs w:val="21"/>
                <w:lang w:eastAsia="ko-KR"/>
              </w:rPr>
              <w:t xml:space="preserve"> 양수인이 체결한 계약은 보상 성격의 계약에 따라 처리할 수 있다.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제11조 </w:t>
            </w:r>
            <w:proofErr w:type="spellStart"/>
            <w:r>
              <w:rPr>
                <w:rFonts w:ascii="Gulim" w:eastAsia="Gulim" w:hAnsi="Gulim" w:cs="Batang" w:hint="eastAsia"/>
                <w:szCs w:val="21"/>
                <w:lang w:eastAsia="ko-KR"/>
              </w:rPr>
              <w:t>토지사용권자와</w:t>
            </w:r>
            <w:proofErr w:type="spellEnd"/>
            <w:r>
              <w:rPr>
                <w:rFonts w:ascii="Gulim" w:eastAsia="Gulim" w:hAnsi="Gulim" w:cs="Batang" w:hint="eastAsia"/>
                <w:szCs w:val="21"/>
                <w:lang w:eastAsia="ko-KR"/>
              </w:rPr>
              <w:t xml:space="preserve"> 양수인이 </w:t>
            </w:r>
            <w:proofErr w:type="spellStart"/>
            <w:r>
              <w:rPr>
                <w:rFonts w:ascii="Gulim" w:eastAsia="Gulim" w:hAnsi="Gulim" w:cs="Batang" w:hint="eastAsia"/>
                <w:szCs w:val="21"/>
                <w:lang w:eastAsia="ko-KR"/>
              </w:rPr>
              <w:t>획발방식의</w:t>
            </w:r>
            <w:proofErr w:type="spellEnd"/>
            <w:r>
              <w:rPr>
                <w:rFonts w:ascii="Gulim" w:eastAsia="Gulim" w:hAnsi="Gulim" w:cs="Batang" w:hint="eastAsia"/>
                <w:szCs w:val="21"/>
                <w:lang w:eastAsia="ko-KR"/>
              </w:rPr>
              <w:t xml:space="preserve"> 토지사용권을 양도하기로 계약을 체결하고, </w:t>
            </w:r>
            <w:proofErr w:type="spellStart"/>
            <w:r>
              <w:rPr>
                <w:rFonts w:ascii="Gulim" w:eastAsia="Gulim" w:hAnsi="Gulim" w:cs="Batang" w:hint="eastAsia"/>
                <w:szCs w:val="21"/>
                <w:lang w:eastAsia="ko-KR"/>
              </w:rPr>
              <w:t>기소전</w:t>
            </w:r>
            <w:proofErr w:type="spellEnd"/>
            <w:r>
              <w:rPr>
                <w:rFonts w:ascii="Gulim" w:eastAsia="Gulim" w:hAnsi="Gulim" w:cs="Batang" w:hint="eastAsia"/>
                <w:szCs w:val="21"/>
                <w:lang w:eastAsia="ko-KR"/>
              </w:rPr>
              <w:t xml:space="preserve"> 비준권을 가진 인민정부가 토지사용권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수속을 처리하지 않기로 결정하고, 해당 토지사용권을 직접 양수인에게 </w:t>
            </w:r>
            <w:proofErr w:type="spellStart"/>
            <w:r>
              <w:rPr>
                <w:rFonts w:ascii="Gulim" w:eastAsia="Gulim" w:hAnsi="Gulim" w:cs="Batang" w:hint="eastAsia"/>
                <w:szCs w:val="21"/>
                <w:lang w:eastAsia="ko-KR"/>
              </w:rPr>
              <w:t>획발하여</w:t>
            </w:r>
            <w:proofErr w:type="spellEnd"/>
            <w:r>
              <w:rPr>
                <w:rFonts w:ascii="Gulim" w:eastAsia="Gulim" w:hAnsi="Gulim" w:cs="Batang" w:hint="eastAsia"/>
                <w:szCs w:val="21"/>
                <w:lang w:eastAsia="ko-KR"/>
              </w:rPr>
              <w:t xml:space="preserve"> 사용하도록 할 경우, </w:t>
            </w:r>
            <w:proofErr w:type="spellStart"/>
            <w:r>
              <w:rPr>
                <w:rFonts w:ascii="Gulim" w:eastAsia="Gulim" w:hAnsi="Gulim" w:cs="Batang" w:hint="eastAsia"/>
                <w:szCs w:val="21"/>
                <w:lang w:eastAsia="ko-KR"/>
              </w:rPr>
              <w:t>토지사용권자와</w:t>
            </w:r>
            <w:proofErr w:type="spellEnd"/>
            <w:r>
              <w:rPr>
                <w:rFonts w:ascii="Gulim" w:eastAsia="Gulim" w:hAnsi="Gulim" w:cs="Batang" w:hint="eastAsia"/>
                <w:szCs w:val="21"/>
                <w:lang w:eastAsia="ko-KR"/>
              </w:rPr>
              <w:t xml:space="preserve"> 양수인이 체결한 계약은 보상 성격의 계약에 따라 처리할 수 있다. </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b/>
                <w:bCs/>
                <w:szCs w:val="21"/>
                <w:lang w:eastAsia="ko-KR"/>
              </w:rPr>
            </w:pPr>
            <w:r>
              <w:rPr>
                <w:rFonts w:ascii="Gulim" w:eastAsia="Gulim" w:hAnsi="Gulim" w:cs="Batang" w:hint="eastAsia"/>
                <w:b/>
                <w:bCs/>
                <w:szCs w:val="21"/>
                <w:lang w:eastAsia="ko-KR"/>
              </w:rPr>
              <w:t xml:space="preserve">3. 합작개발 부동산 계약 분쟁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제12조 </w:t>
            </w:r>
            <w:r>
              <w:rPr>
                <w:rFonts w:ascii="Gulim" w:eastAsia="Gulim" w:hAnsi="Gulim" w:cs="Batang" w:hint="eastAsia"/>
                <w:szCs w:val="21"/>
                <w:lang w:eastAsia="ko-KR"/>
              </w:rPr>
              <w:t xml:space="preserve">본 해석에서 일컫는 합작개발 부동산 계약이라 함은 당사자가 체결한 </w:t>
            </w:r>
            <w:proofErr w:type="spellStart"/>
            <w:r>
              <w:rPr>
                <w:rFonts w:ascii="Gulim" w:eastAsia="Gulim" w:hAnsi="Gulim" w:cs="Batang" w:hint="eastAsia"/>
                <w:szCs w:val="21"/>
                <w:lang w:eastAsia="ko-KR"/>
              </w:rPr>
              <w:t>출양</w:t>
            </w:r>
            <w:proofErr w:type="spellEnd"/>
            <w:r>
              <w:rPr>
                <w:rFonts w:ascii="Gulim" w:eastAsia="Gulim" w:hAnsi="Gulim" w:cs="Batang" w:hint="eastAsia"/>
                <w:szCs w:val="21"/>
                <w:lang w:eastAsia="ko-KR"/>
              </w:rPr>
              <w:t xml:space="preserve"> 토지사용권 및 자금 등을 제공하는 공동투자로써 함께 이익을 향유하고, </w:t>
            </w:r>
            <w:proofErr w:type="spellStart"/>
            <w:r>
              <w:rPr>
                <w:rFonts w:ascii="Gulim" w:eastAsia="Gulim" w:hAnsi="Gulim" w:cs="Batang" w:hint="eastAsia"/>
                <w:szCs w:val="21"/>
                <w:lang w:eastAsia="ko-KR"/>
              </w:rPr>
              <w:t>리스크를</w:t>
            </w:r>
            <w:proofErr w:type="spellEnd"/>
            <w:r>
              <w:rPr>
                <w:rFonts w:ascii="Gulim" w:eastAsia="Gulim" w:hAnsi="Gulim" w:cs="Batang" w:hint="eastAsia"/>
                <w:szCs w:val="21"/>
                <w:lang w:eastAsia="ko-KR"/>
              </w:rPr>
              <w:t xml:space="preserve"> 부담하는 합작개발 부동산을 기초로 하는 내용의 계약을 뜻한다.</w:t>
            </w:r>
            <w:r>
              <w:rPr>
                <w:rFonts w:ascii="Gulim" w:eastAsia="Gulim" w:hAnsi="Gulim" w:cs="Batang" w:hint="eastAsia"/>
                <w:b/>
                <w:bCs/>
                <w:szCs w:val="21"/>
                <w:lang w:eastAsia="ko-KR"/>
              </w:rPr>
              <w:t xml:space="preserve">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제13조 </w:t>
            </w:r>
            <w:r>
              <w:rPr>
                <w:rFonts w:ascii="Gulim" w:eastAsia="Gulim" w:hAnsi="Gulim" w:cs="Batang" w:hint="eastAsia"/>
                <w:szCs w:val="21"/>
                <w:lang w:eastAsia="ko-KR"/>
              </w:rPr>
              <w:t xml:space="preserve">합작개발 부동산 계약의 당사자 일방은 부동산 개발 경영자격을 구비하고 있을 경우, 유효한 계약으로 인정하여야 한다. </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당사자 쌍방 모두 부동산 개발 경영자격을 구비하지 못한 경우, 계약은 무효로 인정되어야 한다. 단, </w:t>
            </w:r>
            <w:proofErr w:type="spellStart"/>
            <w:r>
              <w:rPr>
                <w:rFonts w:ascii="Gulim" w:eastAsia="Gulim" w:hAnsi="Gulim" w:cs="Batang" w:hint="eastAsia"/>
                <w:szCs w:val="21"/>
                <w:lang w:eastAsia="ko-KR"/>
              </w:rPr>
              <w:t>기소전</w:t>
            </w:r>
            <w:proofErr w:type="spellEnd"/>
            <w:r>
              <w:rPr>
                <w:rFonts w:ascii="Gulim" w:eastAsia="Gulim" w:hAnsi="Gulim" w:cs="Batang" w:hint="eastAsia"/>
                <w:szCs w:val="21"/>
                <w:lang w:eastAsia="ko-KR"/>
              </w:rPr>
              <w:t xml:space="preserve"> 당사자 일방이 부동산 개발 경영자격을 취득하였거나 또는 이미 법에 </w:t>
            </w:r>
            <w:r>
              <w:rPr>
                <w:rFonts w:ascii="Gulim" w:eastAsia="Gulim" w:hAnsi="Gulim" w:cs="Batang" w:hint="eastAsia"/>
                <w:szCs w:val="21"/>
                <w:lang w:eastAsia="ko-KR"/>
              </w:rPr>
              <w:lastRenderedPageBreak/>
              <w:t>의거 합</w:t>
            </w:r>
            <w:r>
              <w:rPr>
                <w:rFonts w:ascii="Gulim" w:eastAsia="Gulim" w:hAnsi="Gulim" w:cs="Batang" w:hint="eastAsia"/>
                <w:color w:val="000000" w:themeColor="text1"/>
                <w:szCs w:val="21"/>
                <w:lang w:eastAsia="ko-KR"/>
              </w:rPr>
              <w:t>작하여 부동산 개발 경영자격을 갖춘 부동산 개발 기업을 설립한 경우 유효한 계약으로 인정하여야 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제14조 </w:t>
            </w:r>
            <w:r>
              <w:rPr>
                <w:rFonts w:ascii="Gulim" w:eastAsia="Gulim" w:hAnsi="Gulim" w:cs="Batang" w:hint="eastAsia"/>
                <w:szCs w:val="21"/>
                <w:lang w:eastAsia="ko-KR"/>
              </w:rPr>
              <w:t xml:space="preserve">투자액이 합작개발 부동산 계약의 약정을 초과하고, 증가한 투자액의 부담비율에 대해 당사자간 협상이 결렬될 경우, 당사자의 위약 상황에 따라 확정한다. 불가항력으로 인한 당사자의 사유 또는 당사자의 위약 상황으로 인해 확정이 불가할 경우, 약정된 투자비율에 따라 확정한다. 약정된 투자비율이 없을 경우에는 약정된 이익분배비율에 따라 확정한다.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제15조 </w:t>
            </w:r>
            <w:r>
              <w:rPr>
                <w:rFonts w:ascii="Gulim" w:eastAsia="Gulim" w:hAnsi="Gulim" w:cs="Batang" w:hint="eastAsia"/>
                <w:szCs w:val="21"/>
                <w:lang w:eastAsia="ko-KR"/>
              </w:rPr>
              <w:t xml:space="preserve">건물의 실제 건축면적이 합작개발 부동산 계약의 약정보다 좁고, 건물의 실제 건축면전의 분배비율에 대해 당사자간 협상이 결렬될 경우, 당사자의 위약 상황에 따라 확정한다. 불가항력으로 인한 당사자의 사유 또는 당사자의 위약 상황으로 인해 확정이 불가할 경우, 약정된 이익분배비율에 따라 확정한다.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제16조 </w:t>
            </w:r>
            <w:r>
              <w:rPr>
                <w:rFonts w:ascii="Gulim" w:eastAsia="Gulim" w:hAnsi="Gulim" w:cs="Batang" w:hint="eastAsia"/>
                <w:szCs w:val="21"/>
                <w:lang w:eastAsia="ko-KR"/>
              </w:rPr>
              <w:t xml:space="preserve">다음과 같은 상황에서 합작 개발 부동산 계약의 당사자가 부동산 분양 프로젝트 이익을 요구할 경우 수리하지 않는다. 이미 수리한 경우에는 기소를 기각한다. </w:t>
            </w:r>
          </w:p>
          <w:p w:rsidR="00DA4DEC" w:rsidRDefault="00DA4DEC" w:rsidP="00DA4DEC">
            <w:pPr>
              <w:wordWrap w:val="0"/>
              <w:topLinePunct/>
              <w:adjustRightInd w:val="0"/>
              <w:snapToGrid w:val="0"/>
              <w:spacing w:line="360" w:lineRule="auto"/>
              <w:ind w:firstLine="444"/>
              <w:rPr>
                <w:rFonts w:ascii="Gulim" w:eastAsia="Gulim" w:hAnsi="Gulim" w:hint="eastAsia"/>
                <w:szCs w:val="21"/>
                <w:lang w:eastAsia="ko-KR"/>
              </w:rPr>
            </w:pPr>
            <w:r>
              <w:rPr>
                <w:rFonts w:ascii="Gulim" w:eastAsia="Gulim" w:hAnsi="Gulim" w:hint="eastAsia"/>
                <w:szCs w:val="21"/>
                <w:lang w:eastAsia="ko-KR"/>
              </w:rPr>
              <w:t xml:space="preserve">16.1 </w:t>
            </w:r>
            <w:r>
              <w:rPr>
                <w:rFonts w:ascii="Gulim" w:eastAsia="Gulim" w:hAnsi="Gulim" w:cs="Batang" w:hint="eastAsia"/>
                <w:szCs w:val="21"/>
                <w:lang w:eastAsia="ko-KR"/>
              </w:rPr>
              <w:t>법에 의거 비준을 거쳐야 하는 부동산 건설프로젝트가 비준권한을 가진 인민정부 주관부처 비준을 거치지 않은 경우</w:t>
            </w:r>
          </w:p>
          <w:p w:rsidR="00DA4DEC" w:rsidRDefault="00DA4DEC" w:rsidP="00DA4DEC">
            <w:pPr>
              <w:wordWrap w:val="0"/>
              <w:topLinePunct/>
              <w:adjustRightInd w:val="0"/>
              <w:snapToGrid w:val="0"/>
              <w:spacing w:line="360" w:lineRule="auto"/>
              <w:ind w:firstLine="444"/>
              <w:rPr>
                <w:rFonts w:ascii="Gulim" w:eastAsia="Gulim" w:hAnsi="Gulim" w:cs="Batang" w:hint="eastAsia"/>
                <w:szCs w:val="21"/>
                <w:lang w:eastAsia="ko-KR"/>
              </w:rPr>
            </w:pPr>
            <w:r>
              <w:rPr>
                <w:rFonts w:ascii="Gulim" w:eastAsia="Gulim" w:hAnsi="Gulim" w:cs="Batang" w:hint="eastAsia"/>
                <w:szCs w:val="21"/>
                <w:lang w:eastAsia="ko-KR"/>
              </w:rPr>
              <w:t xml:space="preserve">16.2 부동산 건설 프로젝트가 </w:t>
            </w:r>
            <w:proofErr w:type="spellStart"/>
            <w:r>
              <w:rPr>
                <w:rFonts w:ascii="Gulim" w:eastAsia="Gulim" w:hAnsi="Gulim" w:cs="Batang" w:hint="eastAsia"/>
                <w:szCs w:val="21"/>
                <w:lang w:eastAsia="ko-KR"/>
              </w:rPr>
              <w:t>건설공정규획허가증을</w:t>
            </w:r>
            <w:proofErr w:type="spellEnd"/>
            <w:r>
              <w:rPr>
                <w:rFonts w:ascii="Gulim" w:eastAsia="Gulim" w:hAnsi="Gulim" w:cs="Batang" w:hint="eastAsia"/>
                <w:szCs w:val="21"/>
                <w:lang w:eastAsia="ko-KR"/>
              </w:rPr>
              <w:t xml:space="preserve"> 취득하지 않은 경우</w:t>
            </w:r>
          </w:p>
          <w:p w:rsidR="00DA4DEC" w:rsidRDefault="00DA4DEC" w:rsidP="00DA4DEC">
            <w:pPr>
              <w:wordWrap w:val="0"/>
              <w:topLinePunct/>
              <w:adjustRightInd w:val="0"/>
              <w:snapToGrid w:val="0"/>
              <w:spacing w:line="360" w:lineRule="auto"/>
              <w:ind w:firstLine="444"/>
              <w:rPr>
                <w:rFonts w:ascii="Gulim" w:eastAsia="Gulim" w:hAnsi="Gulim" w:cs="Batang" w:hint="eastAsia"/>
                <w:szCs w:val="21"/>
                <w:lang w:eastAsia="ko-KR"/>
              </w:rPr>
            </w:pPr>
            <w:r>
              <w:rPr>
                <w:rFonts w:ascii="Gulim" w:eastAsia="Gulim" w:hAnsi="Gulim" w:cs="Batang" w:hint="eastAsia"/>
                <w:szCs w:val="21"/>
                <w:lang w:eastAsia="ko-KR"/>
              </w:rPr>
              <w:t xml:space="preserve">16.3 임의로 건설공정 </w:t>
            </w:r>
            <w:proofErr w:type="spellStart"/>
            <w:r>
              <w:rPr>
                <w:rFonts w:ascii="Gulim" w:eastAsia="Gulim" w:hAnsi="Gulim" w:cs="Batang" w:hint="eastAsia"/>
                <w:szCs w:val="21"/>
                <w:lang w:eastAsia="ko-KR"/>
              </w:rPr>
              <w:t>규획을</w:t>
            </w:r>
            <w:proofErr w:type="spellEnd"/>
            <w:r>
              <w:rPr>
                <w:rFonts w:ascii="Gulim" w:eastAsia="Gulim" w:hAnsi="Gulim" w:cs="Batang" w:hint="eastAsia"/>
                <w:szCs w:val="21"/>
                <w:lang w:eastAsia="ko-KR"/>
              </w:rPr>
              <w:t xml:space="preserve"> 변경할 경우</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당사자가 건설공정 </w:t>
            </w:r>
            <w:proofErr w:type="spellStart"/>
            <w:r>
              <w:rPr>
                <w:rFonts w:ascii="Gulim" w:eastAsia="Gulim" w:hAnsi="Gulim" w:cs="Batang" w:hint="eastAsia"/>
                <w:szCs w:val="21"/>
                <w:lang w:eastAsia="ko-KR"/>
              </w:rPr>
              <w:t>규획을</w:t>
            </w:r>
            <w:proofErr w:type="spellEnd"/>
            <w:r>
              <w:rPr>
                <w:rFonts w:ascii="Gulim" w:eastAsia="Gulim" w:hAnsi="Gulim" w:cs="Batang" w:hint="eastAsia"/>
                <w:szCs w:val="21"/>
                <w:lang w:eastAsia="ko-KR"/>
              </w:rPr>
              <w:t xml:space="preserve"> 변경한 사실을 숨겨 초래되는 손실은 당사자가 과실에 따라 부담한다.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제17조 </w:t>
            </w:r>
            <w:r>
              <w:rPr>
                <w:rFonts w:ascii="Gulim" w:eastAsia="Gulim" w:hAnsi="Gulim" w:cs="Batang" w:hint="eastAsia"/>
                <w:szCs w:val="21"/>
                <w:lang w:eastAsia="ko-KR"/>
              </w:rPr>
              <w:t xml:space="preserve">건물의 실제 건축면적이 </w:t>
            </w:r>
            <w:proofErr w:type="spellStart"/>
            <w:r>
              <w:rPr>
                <w:rFonts w:ascii="Gulim" w:eastAsia="Gulim" w:hAnsi="Gulim" w:cs="Batang" w:hint="eastAsia"/>
                <w:szCs w:val="21"/>
                <w:lang w:eastAsia="ko-KR"/>
              </w:rPr>
              <w:t>규획</w:t>
            </w:r>
            <w:proofErr w:type="spellEnd"/>
            <w:r>
              <w:rPr>
                <w:rFonts w:ascii="Gulim" w:eastAsia="Gulim" w:hAnsi="Gulim" w:cs="Batang" w:hint="eastAsia"/>
                <w:szCs w:val="21"/>
                <w:lang w:eastAsia="ko-KR"/>
              </w:rPr>
              <w:t xml:space="preserve"> 건축</w:t>
            </w:r>
            <w:r>
              <w:rPr>
                <w:rFonts w:ascii="Gulim" w:eastAsia="Gulim" w:hAnsi="Gulim" w:cs="Batang" w:hint="eastAsia"/>
                <w:szCs w:val="21"/>
                <w:lang w:eastAsia="ko-KR"/>
              </w:rPr>
              <w:lastRenderedPageBreak/>
              <w:t xml:space="preserve">면적을 초과하고, 비준권을 가진 인민정부 주관부처의 비준을 거친 후, 당사자간 </w:t>
            </w:r>
            <w:proofErr w:type="spellStart"/>
            <w:r>
              <w:rPr>
                <w:rFonts w:ascii="Gulim" w:eastAsia="Gulim" w:hAnsi="Gulim" w:cs="Batang" w:hint="eastAsia"/>
                <w:szCs w:val="21"/>
                <w:lang w:eastAsia="ko-KR"/>
              </w:rPr>
              <w:t>초과분의</w:t>
            </w:r>
            <w:proofErr w:type="spellEnd"/>
            <w:r>
              <w:rPr>
                <w:rFonts w:ascii="Gulim" w:eastAsia="Gulim" w:hAnsi="Gulim" w:cs="Batang" w:hint="eastAsia"/>
                <w:szCs w:val="21"/>
                <w:lang w:eastAsia="ko-KR"/>
              </w:rPr>
              <w:t xml:space="preserve"> 건물 분배비율에 대해 협상이 결렬될 경우, 약정된 이윤분배비율에 따라 확정한다. 당사자의 위약 상황에 따라 확정한다. 불가항력으로 인한 당사자의 사유 또는 당사자의 위약 상황으로 인해 확정이 불가할 경우, 약정된 이익분배비율에 따라 확정한다. 증가한 투자액의 부담비율에 대해 당사자간 협상이 결렬될 경우, 약정된 투자비율에 따라 확정한다. 약정된 투자비율이 없을 경우에는 약정된 이익분배비율에 따라 확정한다.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제18조 </w:t>
            </w:r>
            <w:r>
              <w:rPr>
                <w:rFonts w:ascii="Gulim" w:eastAsia="Gulim" w:hAnsi="Gulim" w:cs="Batang" w:hint="eastAsia"/>
                <w:szCs w:val="21"/>
                <w:lang w:eastAsia="ko-KR"/>
              </w:rPr>
              <w:t xml:space="preserve">당사자가 </w:t>
            </w:r>
            <w:proofErr w:type="spellStart"/>
            <w:r>
              <w:rPr>
                <w:rFonts w:ascii="Gulim" w:eastAsia="Gulim" w:hAnsi="Gulim" w:cs="Batang" w:hint="eastAsia"/>
                <w:szCs w:val="21"/>
                <w:lang w:eastAsia="ko-KR"/>
              </w:rPr>
              <w:t>규획</w:t>
            </w:r>
            <w:proofErr w:type="spellEnd"/>
            <w:r>
              <w:rPr>
                <w:rFonts w:ascii="Gulim" w:eastAsia="Gulim" w:hAnsi="Gulim" w:cs="Batang" w:hint="eastAsia"/>
                <w:szCs w:val="21"/>
                <w:lang w:eastAsia="ko-KR"/>
              </w:rPr>
              <w:t xml:space="preserve"> 개발을 위반하여 건설한 건물이 비준권을 가진 인민정부 주관부처에 의해 불법건축물로 인정되어, 철거 명령을 받고, 당사자간 손실 부담에 대한 협상이 결렬될 경우, 당사자 과실에 따라 책임을 확정한다. 과실로 확정이 불가할 경우, 약정된 투자비율에 따라 책임을 확정한다. 투자비율이 약정되어 있지 않은 경우 약정된 이윤분배 비율에 따라 책임을 확정한다.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제19조 </w:t>
            </w:r>
            <w:r>
              <w:rPr>
                <w:rFonts w:ascii="Gulim" w:eastAsia="Gulim" w:hAnsi="Gulim" w:cs="Batang" w:hint="eastAsia"/>
                <w:szCs w:val="21"/>
                <w:lang w:eastAsia="ko-KR"/>
              </w:rPr>
              <w:t xml:space="preserve">합작개발 부동산 계약 약정에서 투자액으로만 이윤분배비율을 확정하고, 당사자가 출자금을 전액 납부하지 않은 경우 당사자의 실제 투자비율에 따라 이윤을 분배한다.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제20조 </w:t>
            </w:r>
            <w:r>
              <w:rPr>
                <w:rFonts w:ascii="Gulim" w:eastAsia="Gulim" w:hAnsi="Gulim" w:cs="Batang" w:hint="eastAsia"/>
                <w:szCs w:val="21"/>
                <w:lang w:eastAsia="ko-KR"/>
              </w:rPr>
              <w:t xml:space="preserve">합작개발 부동산 계약의 당사자가 건물의 예매 금액을 </w:t>
            </w:r>
            <w:proofErr w:type="spellStart"/>
            <w:r>
              <w:rPr>
                <w:rFonts w:ascii="Gulim" w:eastAsia="Gulim" w:hAnsi="Gulim" w:cs="Batang" w:hint="eastAsia"/>
                <w:szCs w:val="21"/>
                <w:lang w:eastAsia="ko-KR"/>
              </w:rPr>
              <w:t>투자금에</w:t>
            </w:r>
            <w:proofErr w:type="spellEnd"/>
            <w:r>
              <w:rPr>
                <w:rFonts w:ascii="Gulim" w:eastAsia="Gulim" w:hAnsi="Gulim" w:cs="Batang" w:hint="eastAsia"/>
                <w:szCs w:val="21"/>
                <w:lang w:eastAsia="ko-KR"/>
              </w:rPr>
              <w:t xml:space="preserve"> 충당하여 이윤분배에 참여하길 요구할 경우 이를 지지하지 않는다.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제21조 </w:t>
            </w:r>
            <w:r>
              <w:rPr>
                <w:rFonts w:ascii="Gulim" w:eastAsia="Gulim" w:hAnsi="Gulim" w:cs="Batang" w:hint="eastAsia"/>
                <w:szCs w:val="21"/>
                <w:lang w:eastAsia="ko-KR"/>
              </w:rPr>
              <w:t xml:space="preserve">합작개발 부동산 계약 약정에서 토지사용권을 제공하는 당사자가 경영 </w:t>
            </w:r>
            <w:proofErr w:type="spellStart"/>
            <w:r>
              <w:rPr>
                <w:rFonts w:ascii="Gulim" w:eastAsia="Gulim" w:hAnsi="Gulim" w:cs="Batang" w:hint="eastAsia"/>
                <w:szCs w:val="21"/>
                <w:lang w:eastAsia="ko-KR"/>
              </w:rPr>
              <w:t>리스크를</w:t>
            </w:r>
            <w:proofErr w:type="spellEnd"/>
            <w:r>
              <w:rPr>
                <w:rFonts w:ascii="Gulim" w:eastAsia="Gulim" w:hAnsi="Gulim" w:cs="Batang" w:hint="eastAsia"/>
                <w:szCs w:val="21"/>
                <w:lang w:eastAsia="ko-KR"/>
              </w:rPr>
              <w:t xml:space="preserve"> 지지 않고, 고정 이익만을 수취할 경우, 토지사</w:t>
            </w:r>
            <w:r>
              <w:rPr>
                <w:rFonts w:ascii="Gulim" w:eastAsia="Gulim" w:hAnsi="Gulim" w:cs="Batang" w:hint="eastAsia"/>
                <w:szCs w:val="21"/>
                <w:lang w:eastAsia="ko-KR"/>
              </w:rPr>
              <w:lastRenderedPageBreak/>
              <w:t xml:space="preserve">용권 양도 계약으로 인정하여야 한다. </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제22조 </w:t>
            </w:r>
            <w:r>
              <w:rPr>
                <w:rFonts w:ascii="Gulim" w:eastAsia="Gulim" w:hAnsi="Gulim" w:cs="Batang" w:hint="eastAsia"/>
                <w:szCs w:val="21"/>
                <w:lang w:eastAsia="ko-KR"/>
              </w:rPr>
              <w:t xml:space="preserve">합작개발 부동산 계약 약정에서 자금을 제공하는 당사자가 경영 </w:t>
            </w:r>
            <w:proofErr w:type="spellStart"/>
            <w:r>
              <w:rPr>
                <w:rFonts w:ascii="Gulim" w:eastAsia="Gulim" w:hAnsi="Gulim" w:cs="Batang" w:hint="eastAsia"/>
                <w:szCs w:val="21"/>
                <w:lang w:eastAsia="ko-KR"/>
              </w:rPr>
              <w:t>리스크를</w:t>
            </w:r>
            <w:proofErr w:type="spellEnd"/>
            <w:r>
              <w:rPr>
                <w:rFonts w:ascii="Gulim" w:eastAsia="Gulim" w:hAnsi="Gulim" w:cs="Batang" w:hint="eastAsia"/>
                <w:szCs w:val="21"/>
                <w:lang w:eastAsia="ko-KR"/>
              </w:rPr>
              <w:t xml:space="preserve"> 지지 않고, 고정된 수량의 건물만을 분양할 경우, 이는 건물 매매계약으로 인정하여야 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제23조 </w:t>
            </w:r>
            <w:r>
              <w:rPr>
                <w:rFonts w:ascii="Gulim" w:eastAsia="Gulim" w:hAnsi="Gulim" w:cs="Batang" w:hint="eastAsia"/>
                <w:szCs w:val="21"/>
                <w:lang w:eastAsia="ko-KR"/>
              </w:rPr>
              <w:t xml:space="preserve">합작개발 부동산 계약 약정에서 자금을 제공하는 당사자가 경영 </w:t>
            </w:r>
            <w:proofErr w:type="spellStart"/>
            <w:r>
              <w:rPr>
                <w:rFonts w:ascii="Gulim" w:eastAsia="Gulim" w:hAnsi="Gulim" w:cs="Batang" w:hint="eastAsia"/>
                <w:szCs w:val="21"/>
                <w:lang w:eastAsia="ko-KR"/>
              </w:rPr>
              <w:t>리스크를</w:t>
            </w:r>
            <w:proofErr w:type="spellEnd"/>
            <w:r>
              <w:rPr>
                <w:rFonts w:ascii="Gulim" w:eastAsia="Gulim" w:hAnsi="Gulim" w:cs="Batang" w:hint="eastAsia"/>
                <w:szCs w:val="21"/>
                <w:lang w:eastAsia="ko-KR"/>
              </w:rPr>
              <w:t xml:space="preserve"> 지지 않고, 고정금액(현금)만을 수취할 경우, 이는 대출계약으로 인정하여야 한다.</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제24조 </w:t>
            </w:r>
            <w:r>
              <w:rPr>
                <w:rFonts w:ascii="Gulim" w:eastAsia="Gulim" w:hAnsi="Gulim" w:cs="Batang" w:hint="eastAsia"/>
                <w:szCs w:val="21"/>
                <w:lang w:eastAsia="ko-KR"/>
              </w:rPr>
              <w:t xml:space="preserve">합작개발 부동산 계약 약정에서 자금을 제공하는 당사자가 경영 </w:t>
            </w:r>
            <w:proofErr w:type="spellStart"/>
            <w:r>
              <w:rPr>
                <w:rFonts w:ascii="Gulim" w:eastAsia="Gulim" w:hAnsi="Gulim" w:cs="Batang" w:hint="eastAsia"/>
                <w:szCs w:val="21"/>
                <w:lang w:eastAsia="ko-KR"/>
              </w:rPr>
              <w:t>리스크를</w:t>
            </w:r>
            <w:proofErr w:type="spellEnd"/>
            <w:r>
              <w:rPr>
                <w:rFonts w:ascii="Gulim" w:eastAsia="Gulim" w:hAnsi="Gulim" w:cs="Batang" w:hint="eastAsia"/>
                <w:szCs w:val="21"/>
                <w:lang w:eastAsia="ko-KR"/>
              </w:rPr>
              <w:t xml:space="preserve"> 지지 않고, 임대 또는 기타방식으로만 건물을 사용할 경우, 이는 건물 임대차계약으로 인정하여야 한다. </w:t>
            </w:r>
          </w:p>
          <w:p w:rsidR="00DA4DEC" w:rsidRDefault="00DA4DEC" w:rsidP="00DA4DEC">
            <w:pPr>
              <w:wordWrap w:val="0"/>
              <w:topLinePunct/>
              <w:adjustRightInd w:val="0"/>
              <w:snapToGrid w:val="0"/>
              <w:spacing w:line="360" w:lineRule="auto"/>
              <w:ind w:firstLineChars="100" w:firstLine="210"/>
              <w:rPr>
                <w:rFonts w:ascii="Gulim" w:eastAsia="Gulim" w:hAnsi="Gulim" w:cs="Batang" w:hint="eastAsia"/>
                <w:szCs w:val="21"/>
                <w:lang w:eastAsia="ko-KR"/>
              </w:rPr>
            </w:pP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b/>
                <w:bCs/>
                <w:szCs w:val="21"/>
                <w:lang w:eastAsia="ko-KR"/>
              </w:rPr>
            </w:pPr>
            <w:r>
              <w:rPr>
                <w:rFonts w:ascii="Gulim" w:eastAsia="Gulim" w:hAnsi="Gulim" w:cs="Batang" w:hint="eastAsia"/>
                <w:b/>
                <w:bCs/>
                <w:szCs w:val="21"/>
                <w:lang w:eastAsia="ko-KR"/>
              </w:rPr>
              <w:t>4. 기타</w:t>
            </w:r>
          </w:p>
          <w:p w:rsidR="00DA4DEC" w:rsidRDefault="00DA4DEC" w:rsidP="00DA4DEC">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 xml:space="preserve">제25조 </w:t>
            </w:r>
            <w:r>
              <w:rPr>
                <w:rFonts w:ascii="Gulim" w:eastAsia="Gulim" w:hAnsi="Gulim" w:cs="Batang" w:hint="eastAsia"/>
                <w:szCs w:val="21"/>
                <w:lang w:eastAsia="ko-KR"/>
              </w:rPr>
              <w:t xml:space="preserve">본 해석은 2005년 8월 1일부터 시행한다. </w:t>
            </w:r>
            <w:proofErr w:type="spellStart"/>
            <w:r>
              <w:rPr>
                <w:rFonts w:ascii="Gulim" w:eastAsia="Gulim" w:hAnsi="Gulim" w:cs="Batang" w:hint="eastAsia"/>
                <w:szCs w:val="21"/>
                <w:lang w:eastAsia="ko-KR"/>
              </w:rPr>
              <w:t>시행후</w:t>
            </w:r>
            <w:proofErr w:type="spellEnd"/>
            <w:r>
              <w:rPr>
                <w:rFonts w:ascii="Gulim" w:eastAsia="Gulim" w:hAnsi="Gulim" w:cs="Batang" w:hint="eastAsia"/>
                <w:szCs w:val="21"/>
                <w:lang w:eastAsia="ko-KR"/>
              </w:rPr>
              <w:t xml:space="preserve"> 수리한 제1심 안건은 본 해석을 적용한다. </w:t>
            </w:r>
          </w:p>
          <w:p w:rsidR="00DA4DEC" w:rsidRDefault="00DA4DEC" w:rsidP="00DA4DEC">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본 해석 </w:t>
            </w:r>
            <w:proofErr w:type="spellStart"/>
            <w:r>
              <w:rPr>
                <w:rFonts w:ascii="Gulim" w:eastAsia="Gulim" w:hAnsi="Gulim" w:cs="Batang" w:hint="eastAsia"/>
                <w:szCs w:val="21"/>
                <w:lang w:eastAsia="ko-KR"/>
              </w:rPr>
              <w:t>시행전</w:t>
            </w:r>
            <w:proofErr w:type="spellEnd"/>
            <w:r>
              <w:rPr>
                <w:rFonts w:ascii="Gulim" w:eastAsia="Gulim" w:hAnsi="Gulim" w:cs="Batang" w:hint="eastAsia"/>
                <w:szCs w:val="21"/>
                <w:lang w:eastAsia="ko-KR"/>
              </w:rPr>
              <w:t xml:space="preserve"> </w:t>
            </w:r>
            <w:proofErr w:type="spellStart"/>
            <w:r>
              <w:rPr>
                <w:rFonts w:ascii="Gulim" w:eastAsia="Gulim" w:hAnsi="Gulim" w:cs="Batang" w:hint="eastAsia"/>
                <w:szCs w:val="21"/>
                <w:lang w:eastAsia="ko-KR"/>
              </w:rPr>
              <w:t>최고인민원이</w:t>
            </w:r>
            <w:proofErr w:type="spellEnd"/>
            <w:r>
              <w:rPr>
                <w:rFonts w:ascii="Gulim" w:eastAsia="Gulim" w:hAnsi="Gulim" w:cs="Batang" w:hint="eastAsia"/>
                <w:szCs w:val="21"/>
                <w:lang w:eastAsia="ko-KR"/>
              </w:rPr>
              <w:t xml:space="preserve"> 발표한 사법 해석과 본 해석이 불일치할 경우, 본 해석을 기준으로 한다. </w:t>
            </w:r>
          </w:p>
          <w:p w:rsidR="00C64255" w:rsidRPr="00DA4DEC" w:rsidRDefault="00C64255" w:rsidP="00C64255">
            <w:pPr>
              <w:pStyle w:val="ae"/>
              <w:topLinePunct/>
              <w:autoSpaceDE/>
              <w:autoSpaceDN/>
              <w:spacing w:line="360" w:lineRule="auto"/>
              <w:rPr>
                <w:rFonts w:ascii="Gulim" w:eastAsia="Gulim" w:hAnsi="Gulim"/>
                <w:sz w:val="21"/>
                <w:szCs w:val="21"/>
                <w:lang w:eastAsia="ko-KR"/>
              </w:rPr>
            </w:pPr>
          </w:p>
          <w:p w:rsidR="00C64255" w:rsidRPr="000C4E32" w:rsidRDefault="00C64255" w:rsidP="00C64255">
            <w:pPr>
              <w:wordWrap w:val="0"/>
              <w:topLinePunct/>
              <w:snapToGrid w:val="0"/>
              <w:spacing w:line="360" w:lineRule="auto"/>
              <w:rPr>
                <w:rFonts w:ascii="Gulim" w:hAnsi="Gulim"/>
                <w:szCs w:val="21"/>
                <w:lang w:eastAsia="ko-KR"/>
              </w:rPr>
            </w:pPr>
          </w:p>
          <w:p w:rsidR="00FE1FE8" w:rsidRPr="00C64255"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DA4DEC" w:rsidRPr="00DA4DEC" w:rsidRDefault="00DA4DEC" w:rsidP="00DA4DEC">
            <w:pPr>
              <w:wordWrap w:val="0"/>
              <w:topLinePunct/>
              <w:adjustRightInd w:val="0"/>
              <w:snapToGrid w:val="0"/>
              <w:spacing w:line="360" w:lineRule="auto"/>
              <w:jc w:val="center"/>
              <w:rPr>
                <w:rFonts w:ascii="Batang" w:eastAsia="Batang" w:hAnsi="Batang" w:cs="宋体"/>
                <w:b/>
                <w:bCs/>
                <w:snapToGrid w:val="0"/>
                <w:kern w:val="0"/>
                <w:sz w:val="26"/>
                <w:szCs w:val="21"/>
              </w:rPr>
            </w:pPr>
            <w:r w:rsidRPr="00DA4DEC">
              <w:rPr>
                <w:rFonts w:ascii="Batang" w:eastAsia="Batang" w:hAnsi="Batang" w:cs="宋体" w:hint="eastAsia"/>
                <w:b/>
                <w:bCs/>
                <w:snapToGrid w:val="0"/>
                <w:kern w:val="0"/>
                <w:sz w:val="26"/>
                <w:szCs w:val="21"/>
              </w:rPr>
              <w:t>最高人民法院</w:t>
            </w:r>
          </w:p>
          <w:p w:rsidR="00DA4DEC" w:rsidRPr="00DA4DEC" w:rsidRDefault="00DA4DEC" w:rsidP="00DA4DEC">
            <w:pPr>
              <w:wordWrap w:val="0"/>
              <w:topLinePunct/>
              <w:adjustRightInd w:val="0"/>
              <w:snapToGrid w:val="0"/>
              <w:spacing w:line="360" w:lineRule="auto"/>
              <w:jc w:val="center"/>
              <w:rPr>
                <w:rFonts w:ascii="Batang" w:eastAsia="Batang" w:hAnsi="Batang" w:cs="宋体" w:hint="eastAsia"/>
                <w:b/>
                <w:bCs/>
                <w:snapToGrid w:val="0"/>
                <w:kern w:val="0"/>
                <w:sz w:val="26"/>
                <w:szCs w:val="21"/>
              </w:rPr>
            </w:pPr>
            <w:r w:rsidRPr="00DA4DEC">
              <w:rPr>
                <w:rFonts w:ascii="Batang" w:eastAsia="Batang" w:hAnsi="Batang" w:cs="宋体" w:hint="eastAsia"/>
                <w:b/>
                <w:bCs/>
                <w:snapToGrid w:val="0"/>
                <w:kern w:val="0"/>
                <w:sz w:val="26"/>
                <w:szCs w:val="21"/>
              </w:rPr>
              <w:t>关于审理涉及国有土地使用权合同纠纷案件适用法律问题的解释</w:t>
            </w:r>
          </w:p>
          <w:p w:rsidR="00DA4DEC" w:rsidRDefault="00DA4DEC" w:rsidP="00DA4DEC">
            <w:pPr>
              <w:wordWrap w:val="0"/>
              <w:topLinePunct/>
              <w:snapToGrid w:val="0"/>
              <w:spacing w:line="360" w:lineRule="auto"/>
              <w:rPr>
                <w:rFonts w:ascii="宋体" w:eastAsia="宋体" w:hAnsi="宋体" w:hint="eastAsia"/>
                <w:szCs w:val="21"/>
              </w:rPr>
            </w:pPr>
          </w:p>
          <w:p w:rsidR="00DA4DEC" w:rsidRDefault="00DA4DEC" w:rsidP="00DA4DEC">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2004年11月23日由最高人民法院审判委员会第1334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DA4DEC" w:rsidRDefault="00DA4DEC" w:rsidP="00DA4DEC">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为正确审理国有土地使用权合同纠纷案件，依法保护当事人的合法权益，根据《中华人民共和国民法典》《中华人民共和国土地管理法》《中华人民共和国城市房地产管理法》等法律规定，结合民事审判实践，制定本解释。</w:t>
            </w:r>
          </w:p>
          <w:p w:rsidR="00DA4DEC" w:rsidRDefault="00DA4DEC" w:rsidP="00DA4DEC">
            <w:pPr>
              <w:wordWrap w:val="0"/>
              <w:topLinePunct/>
              <w:snapToGrid w:val="0"/>
              <w:spacing w:line="360" w:lineRule="auto"/>
              <w:ind w:firstLine="420"/>
              <w:rPr>
                <w:rFonts w:ascii="宋体" w:eastAsia="宋体" w:hAnsi="宋体" w:hint="eastAsia"/>
                <w:szCs w:val="21"/>
              </w:rPr>
            </w:pPr>
          </w:p>
          <w:p w:rsidR="00DA4DEC" w:rsidRDefault="00DA4DEC" w:rsidP="00DA4DEC">
            <w:pPr>
              <w:wordWrap w:val="0"/>
              <w:topLinePunct/>
              <w:snapToGrid w:val="0"/>
              <w:spacing w:line="360" w:lineRule="auto"/>
              <w:rPr>
                <w:rFonts w:ascii="宋体" w:eastAsia="宋体" w:hAnsi="宋体" w:hint="eastAsia"/>
                <w:b/>
                <w:bCs/>
                <w:szCs w:val="21"/>
              </w:rPr>
            </w:pPr>
            <w:r>
              <w:rPr>
                <w:rFonts w:ascii="宋体" w:eastAsia="宋体" w:hAnsi="宋体" w:hint="eastAsia"/>
                <w:b/>
                <w:bCs/>
                <w:szCs w:val="21"/>
              </w:rPr>
              <w:t xml:space="preserve">　　一、土地使用权出让合同纠纷</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宋体" w:hAnsi="宋体" w:hint="eastAsia"/>
                <w:szCs w:val="21"/>
              </w:rPr>
              <w:t xml:space="preserve"> 本解释所称的土地使用权出让合同，是指市、县人民政府自然资源主管部门作为出让方将国有土地使用权在一定年限内让与受让方，受让方支付土地使用权出让金的合同。</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第二条 </w:t>
            </w:r>
            <w:r>
              <w:rPr>
                <w:rFonts w:ascii="宋体" w:eastAsia="宋体" w:hAnsi="宋体" w:hint="eastAsia"/>
                <w:szCs w:val="21"/>
              </w:rPr>
              <w:t>开发区管理委员会作为出让方与受让方订立的土地使用权出让合同，应当认定无效。</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本解释实施前，开发区管理委员会作为出让方与受让方订立的土地使用权出让合同，起诉前经市、县人民政府自然资源主管部门追认的，可以认定合同</w:t>
            </w:r>
            <w:r>
              <w:rPr>
                <w:rFonts w:ascii="宋体" w:eastAsia="宋体" w:hAnsi="宋体" w:hint="eastAsia"/>
                <w:szCs w:val="21"/>
              </w:rPr>
              <w:lastRenderedPageBreak/>
              <w:t>有效。</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宋体" w:hAnsi="宋体" w:hint="eastAsia"/>
                <w:szCs w:val="21"/>
              </w:rPr>
              <w:t xml:space="preserve"> 经市、县人民政府批准同意以协议方式出让的土地使用权，土地使用权出让金低于订立合同时当地政府按照国家规定确定的最低价的，应当认定土地使用权出让合同约定的价格条款无效。</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当事人请求按照订立合同时的市场评估价格交纳土地使用权出让金的，应予支持；受让方不同意按照市场评估价格补足，请求解除合同的，应予支持。因此造成的损失，由当事人按照过错承担责任。</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宋体" w:hAnsi="宋体" w:hint="eastAsia"/>
                <w:szCs w:val="21"/>
              </w:rPr>
              <w:t xml:space="preserve"> 土地使用权出让合同的出让方因未办理土地使用权出让批准手续而不能交付土地，受让方请求解除合同的，应予支持。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宋体" w:hAnsi="宋体" w:hint="eastAsia"/>
                <w:szCs w:val="21"/>
              </w:rPr>
              <w:t xml:space="preserve"> 受让方经出让方和市、县人民政府城市规划行政主管部门同意，改变土地使用权出让合同约定的土地用途，当事人请求按照起诉时同种用途的土地出让金标准调整土地出让金的，应予支持。</w:t>
            </w:r>
          </w:p>
          <w:p w:rsidR="00DA4DEC" w:rsidRDefault="00DA4DEC" w:rsidP="00DA4DEC">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第六条</w:t>
            </w:r>
            <w:r>
              <w:rPr>
                <w:rFonts w:ascii="宋体" w:eastAsia="宋体" w:hAnsi="宋体" w:hint="eastAsia"/>
                <w:szCs w:val="21"/>
              </w:rPr>
              <w:t xml:space="preserve"> 受让方擅自改变土地使用权出让合同约定的土地用途，出让方请求解除合同的，应予支持。</w:t>
            </w: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Pr="00DA4DEC" w:rsidRDefault="00DA4DEC" w:rsidP="00DA4DEC">
            <w:pPr>
              <w:wordWrap w:val="0"/>
              <w:topLinePunct/>
              <w:snapToGrid w:val="0"/>
              <w:spacing w:line="360" w:lineRule="auto"/>
              <w:ind w:firstLine="420"/>
              <w:rPr>
                <w:rFonts w:ascii="宋体" w:hAnsi="宋体" w:hint="eastAsia"/>
                <w:szCs w:val="21"/>
                <w:lang w:eastAsia="ko-KR"/>
              </w:rPr>
            </w:pPr>
          </w:p>
          <w:p w:rsidR="00DA4DEC" w:rsidRDefault="00DA4DEC" w:rsidP="00DA4DEC">
            <w:pPr>
              <w:wordWrap w:val="0"/>
              <w:topLinePunct/>
              <w:snapToGrid w:val="0"/>
              <w:spacing w:line="360" w:lineRule="auto"/>
              <w:rPr>
                <w:rFonts w:ascii="宋体" w:eastAsia="宋体" w:hAnsi="宋体" w:hint="eastAsia"/>
                <w:b/>
                <w:bCs/>
                <w:szCs w:val="21"/>
              </w:rPr>
            </w:pPr>
            <w:r>
              <w:rPr>
                <w:rFonts w:ascii="宋体" w:eastAsia="宋体" w:hAnsi="宋体" w:hint="eastAsia"/>
                <w:b/>
                <w:bCs/>
                <w:szCs w:val="21"/>
              </w:rPr>
              <w:t xml:space="preserve">　　二、土地使用权转让合同纠纷</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第七条</w:t>
            </w:r>
            <w:r>
              <w:rPr>
                <w:rFonts w:ascii="宋体" w:eastAsia="宋体" w:hAnsi="宋体" w:hint="eastAsia"/>
                <w:szCs w:val="21"/>
              </w:rPr>
              <w:t xml:space="preserve"> 本解释所称的土地使用权转让合同，是指土地使用权人作为转让方将出让土地使用权转让于受让方，受让</w:t>
            </w:r>
            <w:r>
              <w:rPr>
                <w:rFonts w:ascii="宋体" w:eastAsia="宋体" w:hAnsi="宋体" w:hint="eastAsia"/>
                <w:szCs w:val="21"/>
              </w:rPr>
              <w:lastRenderedPageBreak/>
              <w:t>方支付价款的合同。</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第八条</w:t>
            </w:r>
            <w:r>
              <w:rPr>
                <w:rFonts w:ascii="宋体" w:eastAsia="宋体" w:hAnsi="宋体" w:hint="eastAsia"/>
                <w:szCs w:val="21"/>
              </w:rPr>
              <w:t xml:space="preserve"> 土地使用权人作为转让方与受让方订立土地使用权转让合同后，当事人一方以双方之间未办理土地使用权变更登记手续为由，请求确认合同无效的，不予支持。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第九条</w:t>
            </w:r>
            <w:r>
              <w:rPr>
                <w:rFonts w:ascii="宋体" w:eastAsia="宋体" w:hAnsi="宋体" w:hint="eastAsia"/>
                <w:szCs w:val="21"/>
              </w:rPr>
              <w:t xml:space="preserve"> 土地使用权人作为转让方就同一出让土地使用权订立数个转让合同，在转让合同有效的情况下，受让方均要求履行合同的，按照以下情形分别处理：</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（一）已经办理土地使用权变更登记手续的受让方，请求转让方履行交付土地等合同义务的，应予支持；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（二）均未办理土地使用权变更登记手续，已先行合法占有投资开发土地的受让方请求转让方履行土地使用权变更登记等合同义务的，应予支持；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（三）均未办理土地使用权变更登记手续，又未合法占有投资开发土地，先行支付土地转让款的受让方请求转让方履行交付土地和办理土地使用权变更登记等合同义务的，应予支持；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（四）合同均未履行，依法成立在先的合同受让方请求履行合同的，应予支持。</w:t>
            </w:r>
          </w:p>
          <w:p w:rsidR="00DA4DEC" w:rsidRDefault="00DA4DEC" w:rsidP="00DA4DEC">
            <w:pPr>
              <w:wordWrap w:val="0"/>
              <w:topLinePunct/>
              <w:snapToGrid w:val="0"/>
              <w:spacing w:line="360" w:lineRule="auto"/>
              <w:ind w:firstLine="450"/>
              <w:rPr>
                <w:rFonts w:ascii="宋体" w:hAnsi="宋体" w:hint="eastAsia"/>
                <w:szCs w:val="21"/>
              </w:rPr>
            </w:pPr>
            <w:r>
              <w:rPr>
                <w:rFonts w:ascii="宋体" w:eastAsia="宋体" w:hAnsi="宋体" w:hint="eastAsia"/>
                <w:szCs w:val="21"/>
              </w:rPr>
              <w:t>未能取得土地使用权的受让方请求解除合同、赔偿损失的，依照民法典的有关规定处理。</w:t>
            </w:r>
          </w:p>
          <w:p w:rsidR="00DA4DEC" w:rsidRDefault="00DA4DEC" w:rsidP="00DA4DEC">
            <w:pPr>
              <w:wordWrap w:val="0"/>
              <w:topLinePunct/>
              <w:snapToGrid w:val="0"/>
              <w:spacing w:line="360" w:lineRule="auto"/>
              <w:ind w:firstLine="450"/>
              <w:rPr>
                <w:rFonts w:ascii="宋体" w:hAnsi="宋体" w:hint="eastAsia"/>
                <w:szCs w:val="21"/>
                <w:lang w:eastAsia="ko-KR"/>
              </w:rPr>
            </w:pPr>
          </w:p>
          <w:p w:rsidR="00DA4DEC" w:rsidRDefault="00DA4DEC" w:rsidP="00DA4DEC">
            <w:pPr>
              <w:wordWrap w:val="0"/>
              <w:topLinePunct/>
              <w:snapToGrid w:val="0"/>
              <w:spacing w:line="360" w:lineRule="auto"/>
              <w:ind w:firstLine="450"/>
              <w:rPr>
                <w:rFonts w:ascii="宋体" w:hAnsi="宋体" w:hint="eastAsia"/>
                <w:szCs w:val="21"/>
                <w:lang w:eastAsia="ko-KR"/>
              </w:rPr>
            </w:pPr>
          </w:p>
          <w:p w:rsidR="00DA4DEC" w:rsidRPr="00DA4DEC" w:rsidRDefault="00DA4DEC" w:rsidP="00DA4DEC">
            <w:pPr>
              <w:wordWrap w:val="0"/>
              <w:topLinePunct/>
              <w:snapToGrid w:val="0"/>
              <w:spacing w:line="360" w:lineRule="auto"/>
              <w:ind w:firstLine="450"/>
              <w:rPr>
                <w:rFonts w:ascii="宋体" w:hAnsi="宋体" w:hint="eastAsia"/>
                <w:szCs w:val="21"/>
              </w:rPr>
            </w:pPr>
          </w:p>
          <w:p w:rsidR="00DA4DEC" w:rsidRDefault="00DA4DEC" w:rsidP="00DA4DEC">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lastRenderedPageBreak/>
              <w:t>第十条</w:t>
            </w:r>
            <w:r>
              <w:rPr>
                <w:rFonts w:ascii="宋体" w:eastAsia="宋体" w:hAnsi="宋体" w:hint="eastAsia"/>
                <w:szCs w:val="21"/>
              </w:rPr>
              <w:t xml:space="preserve"> 土地使用权人与受让方订立合同转让划拨土地使用权，起诉前经有批准权的人民政府同意转让，并由受让方办理土地使用权出让手续的，土地使用权人与受让方订立的合同可以按照补偿性质的合同处理。</w:t>
            </w:r>
          </w:p>
          <w:p w:rsidR="00DA4DEC" w:rsidRDefault="00DA4DEC" w:rsidP="00DA4DEC">
            <w:pPr>
              <w:wordWrap w:val="0"/>
              <w:topLinePunct/>
              <w:snapToGrid w:val="0"/>
              <w:spacing w:line="360" w:lineRule="auto"/>
              <w:ind w:firstLine="435"/>
              <w:rPr>
                <w:rFonts w:ascii="宋体" w:hAnsi="宋体" w:hint="eastAsia"/>
                <w:szCs w:val="21"/>
                <w:lang w:eastAsia="ko-KR"/>
              </w:rPr>
            </w:pPr>
          </w:p>
          <w:p w:rsidR="00DA4DEC" w:rsidRPr="00DA4DEC" w:rsidRDefault="00DA4DEC" w:rsidP="00DA4DEC">
            <w:pPr>
              <w:wordWrap w:val="0"/>
              <w:topLinePunct/>
              <w:snapToGrid w:val="0"/>
              <w:spacing w:line="360" w:lineRule="auto"/>
              <w:ind w:firstLine="435"/>
              <w:rPr>
                <w:rFonts w:ascii="宋体" w:hAnsi="宋体" w:hint="eastAsia"/>
                <w:szCs w:val="21"/>
              </w:rPr>
            </w:pPr>
          </w:p>
          <w:p w:rsidR="00DA4DEC" w:rsidRDefault="00DA4DEC" w:rsidP="00DA4DEC">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第十一条</w:t>
            </w:r>
            <w:r>
              <w:rPr>
                <w:rFonts w:ascii="宋体" w:eastAsia="宋体" w:hAnsi="宋体" w:hint="eastAsia"/>
                <w:szCs w:val="21"/>
              </w:rPr>
              <w:t xml:space="preserve"> 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Pr="00DA4DEC" w:rsidRDefault="00DA4DEC" w:rsidP="00DA4DEC">
            <w:pPr>
              <w:wordWrap w:val="0"/>
              <w:topLinePunct/>
              <w:snapToGrid w:val="0"/>
              <w:spacing w:line="360" w:lineRule="auto"/>
              <w:ind w:firstLine="420"/>
              <w:rPr>
                <w:rFonts w:ascii="宋体" w:hAnsi="宋体" w:hint="eastAsia"/>
                <w:sz w:val="17"/>
                <w:szCs w:val="21"/>
                <w:lang w:eastAsia="ko-KR"/>
              </w:rPr>
            </w:pPr>
          </w:p>
          <w:p w:rsidR="00DA4DEC" w:rsidRDefault="00DA4DEC" w:rsidP="00DA4DEC">
            <w:pPr>
              <w:wordWrap w:val="0"/>
              <w:topLinePunct/>
              <w:snapToGrid w:val="0"/>
              <w:spacing w:line="360" w:lineRule="auto"/>
              <w:rPr>
                <w:rFonts w:ascii="宋体" w:eastAsia="宋体" w:hAnsi="宋体" w:hint="eastAsia"/>
                <w:b/>
                <w:bCs/>
                <w:szCs w:val="21"/>
              </w:rPr>
            </w:pPr>
            <w:r>
              <w:rPr>
                <w:rFonts w:ascii="宋体" w:eastAsia="宋体" w:hAnsi="宋体" w:hint="eastAsia"/>
                <w:b/>
                <w:bCs/>
                <w:szCs w:val="21"/>
              </w:rPr>
              <w:t xml:space="preserve">　　三、合作开发房地产合同纠纷</w:t>
            </w:r>
          </w:p>
          <w:p w:rsidR="00DA4DEC" w:rsidRDefault="00DA4DEC" w:rsidP="00DA4DEC">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第十二条</w:t>
            </w:r>
            <w:r>
              <w:rPr>
                <w:rFonts w:ascii="宋体" w:eastAsia="宋体" w:hAnsi="宋体" w:hint="eastAsia"/>
                <w:szCs w:val="21"/>
              </w:rPr>
              <w:t xml:space="preserve"> 本解释所称的合作开发房地产合同，是指当事人订立的以提供出让土地使用权、资金等作为共同投资，共享利润、共担风险合作开发房地产为基本内容的合同。</w:t>
            </w:r>
          </w:p>
          <w:p w:rsidR="00DA4DEC" w:rsidRPr="00DA4DEC" w:rsidRDefault="00DA4DEC" w:rsidP="00DA4DEC">
            <w:pPr>
              <w:wordWrap w:val="0"/>
              <w:topLinePunct/>
              <w:snapToGrid w:val="0"/>
              <w:spacing w:line="360" w:lineRule="auto"/>
              <w:ind w:firstLine="435"/>
              <w:rPr>
                <w:rFonts w:ascii="宋体" w:hAnsi="宋体" w:hint="eastAsia"/>
                <w:szCs w:val="21"/>
              </w:rPr>
            </w:pP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第十三条</w:t>
            </w:r>
            <w:r>
              <w:rPr>
                <w:rFonts w:ascii="宋体" w:eastAsia="宋体" w:hAnsi="宋体" w:hint="eastAsia"/>
                <w:szCs w:val="21"/>
              </w:rPr>
              <w:t xml:space="preserve"> 合作开发房地产合同的当事人一方具备房地产开发经营资质的，应当认定合同有效。</w:t>
            </w:r>
          </w:p>
          <w:p w:rsidR="00DA4DEC" w:rsidRDefault="00DA4DEC" w:rsidP="00DA4DEC">
            <w:pPr>
              <w:wordWrap w:val="0"/>
              <w:topLinePunct/>
              <w:snapToGrid w:val="0"/>
              <w:spacing w:line="360" w:lineRule="auto"/>
              <w:ind w:firstLine="450"/>
              <w:rPr>
                <w:rFonts w:ascii="宋体" w:hAnsi="宋体" w:hint="eastAsia"/>
                <w:szCs w:val="21"/>
                <w:lang w:eastAsia="ko-KR"/>
              </w:rPr>
            </w:pPr>
            <w:r>
              <w:rPr>
                <w:rFonts w:ascii="宋体" w:eastAsia="宋体" w:hAnsi="宋体" w:hint="eastAsia"/>
                <w:szCs w:val="21"/>
              </w:rPr>
              <w:t>当事人双方均不具备房地产开发经营资质的，应当认定合同无效。但起诉前当事人一方已经取得房地产开发经营资质或者已依法合作成立具有房地产开</w:t>
            </w:r>
            <w:r>
              <w:rPr>
                <w:rFonts w:ascii="宋体" w:eastAsia="宋体" w:hAnsi="宋体" w:hint="eastAsia"/>
                <w:szCs w:val="21"/>
              </w:rPr>
              <w:lastRenderedPageBreak/>
              <w:t>发经营资质的房地产开发企业的，应当认定合同有效。</w:t>
            </w:r>
          </w:p>
          <w:p w:rsidR="00DA4DEC" w:rsidRPr="00DA4DEC" w:rsidRDefault="00DA4DEC" w:rsidP="00DA4DEC">
            <w:pPr>
              <w:wordWrap w:val="0"/>
              <w:topLinePunct/>
              <w:snapToGrid w:val="0"/>
              <w:spacing w:line="360" w:lineRule="auto"/>
              <w:ind w:firstLine="450"/>
              <w:rPr>
                <w:rFonts w:ascii="宋体" w:hAnsi="宋体" w:hint="eastAsia"/>
                <w:szCs w:val="21"/>
                <w:lang w:eastAsia="ko-KR"/>
              </w:rPr>
            </w:pP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第十四条</w:t>
            </w:r>
            <w:r>
              <w:rPr>
                <w:rFonts w:ascii="宋体" w:eastAsia="宋体" w:hAnsi="宋体" w:hint="eastAsia"/>
                <w:szCs w:val="21"/>
              </w:rPr>
              <w:t xml:space="preserve"> 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第十五条</w:t>
            </w:r>
            <w:r>
              <w:rPr>
                <w:rFonts w:ascii="宋体" w:eastAsia="宋体" w:hAnsi="宋体" w:hint="eastAsia"/>
                <w:szCs w:val="21"/>
              </w:rPr>
              <w:t xml:space="preserve"> 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宋体" w:hAnsi="宋体" w:hint="eastAsia"/>
                <w:szCs w:val="21"/>
              </w:rPr>
              <w:t xml:space="preserve"> 在下列情形下，合作开发房地产合同的当事人请求分配房地产项目利益的，不予受理；已经受理的，驳回起诉：</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（一）依法需经批准的房地产建设项目未经有批准权的人民政府主管部门批准；</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（二）房地产建设项目未取得建设工程规划许可证；</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（三）擅自变更建设工程规划。</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因当事人隐瞒建设工程规划变更的事实所造成的损失，由当事人按照过错承担。</w:t>
            </w:r>
          </w:p>
          <w:p w:rsidR="00DA4DEC" w:rsidRDefault="00DA4DEC" w:rsidP="00DA4DEC">
            <w:pPr>
              <w:wordWrap w:val="0"/>
              <w:topLinePunct/>
              <w:snapToGrid w:val="0"/>
              <w:spacing w:line="360" w:lineRule="auto"/>
              <w:ind w:firstLine="420"/>
              <w:rPr>
                <w:rFonts w:ascii="宋体" w:hAnsi="宋体" w:hint="eastAsia"/>
                <w:szCs w:val="21"/>
                <w:lang w:eastAsia="ko-KR"/>
              </w:rPr>
            </w:pPr>
            <w:r>
              <w:rPr>
                <w:rFonts w:ascii="宋体" w:eastAsia="宋体" w:hAnsi="宋体" w:hint="eastAsia"/>
                <w:b/>
                <w:bCs/>
                <w:szCs w:val="21"/>
              </w:rPr>
              <w:t>第十七条</w:t>
            </w:r>
            <w:r>
              <w:rPr>
                <w:rFonts w:ascii="宋体" w:eastAsia="宋体" w:hAnsi="宋体" w:hint="eastAsia"/>
                <w:szCs w:val="21"/>
              </w:rPr>
              <w:t xml:space="preserve"> 房屋实际建筑面积超出规</w:t>
            </w:r>
            <w:r>
              <w:rPr>
                <w:rFonts w:ascii="宋体" w:eastAsia="宋体" w:hAnsi="宋体" w:hint="eastAsia"/>
                <w:szCs w:val="21"/>
              </w:rPr>
              <w:lastRenderedPageBreak/>
              <w:t>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Pr="00DA4DEC" w:rsidRDefault="00DA4DEC" w:rsidP="00DA4DEC">
            <w:pPr>
              <w:wordWrap w:val="0"/>
              <w:topLinePunct/>
              <w:snapToGrid w:val="0"/>
              <w:spacing w:line="360" w:lineRule="auto"/>
              <w:ind w:firstLine="420"/>
              <w:rPr>
                <w:rFonts w:ascii="宋体" w:hAnsi="宋体" w:hint="eastAsia"/>
                <w:szCs w:val="21"/>
                <w:lang w:eastAsia="ko-KR"/>
              </w:rPr>
            </w:pPr>
          </w:p>
          <w:p w:rsidR="00DA4DEC" w:rsidRDefault="00DA4DEC" w:rsidP="00DA4DEC">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第十八条</w:t>
            </w:r>
            <w:r>
              <w:rPr>
                <w:rFonts w:ascii="宋体" w:eastAsia="宋体" w:hAnsi="宋体" w:hint="eastAsia"/>
                <w:szCs w:val="21"/>
              </w:rPr>
              <w:t xml:space="preserve"> 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rsidR="00DA4DEC" w:rsidRPr="00DA4DEC" w:rsidRDefault="00DA4DEC" w:rsidP="00DA4DEC">
            <w:pPr>
              <w:wordWrap w:val="0"/>
              <w:topLinePunct/>
              <w:snapToGrid w:val="0"/>
              <w:spacing w:line="360" w:lineRule="auto"/>
              <w:ind w:firstLine="435"/>
              <w:rPr>
                <w:rFonts w:ascii="宋体" w:hAnsi="宋体" w:hint="eastAsia"/>
                <w:szCs w:val="21"/>
              </w:rPr>
            </w:pP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第十九条</w:t>
            </w:r>
            <w:r>
              <w:rPr>
                <w:rFonts w:ascii="宋体" w:eastAsia="宋体" w:hAnsi="宋体" w:hint="eastAsia"/>
                <w:szCs w:val="21"/>
              </w:rPr>
              <w:t xml:space="preserve"> 合作开发房地产合同约定仅以投资数额确定利润分配比例，当事人未足额交纳出资的，按照当事人的实际投资比例分配利润。</w:t>
            </w:r>
          </w:p>
          <w:p w:rsidR="00DA4DEC" w:rsidRDefault="00DA4DEC" w:rsidP="00DA4DEC">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第二十条</w:t>
            </w:r>
            <w:r>
              <w:rPr>
                <w:rFonts w:ascii="宋体" w:eastAsia="宋体" w:hAnsi="宋体" w:hint="eastAsia"/>
                <w:szCs w:val="21"/>
              </w:rPr>
              <w:t xml:space="preserve"> 合作开发房地产合同的当事人要求将房屋预售款充抵投资参与利润分配的，不予支持。</w:t>
            </w:r>
          </w:p>
          <w:p w:rsidR="00DA4DEC" w:rsidRPr="00DA4DEC" w:rsidRDefault="00DA4DEC" w:rsidP="00DA4DEC">
            <w:pPr>
              <w:wordWrap w:val="0"/>
              <w:topLinePunct/>
              <w:snapToGrid w:val="0"/>
              <w:spacing w:line="360" w:lineRule="auto"/>
              <w:ind w:firstLine="420"/>
              <w:rPr>
                <w:rFonts w:ascii="宋体" w:hAnsi="宋体" w:hint="eastAsia"/>
                <w:szCs w:val="21"/>
              </w:rPr>
            </w:pP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第二十一条</w:t>
            </w:r>
            <w:r>
              <w:rPr>
                <w:rFonts w:ascii="宋体" w:eastAsia="宋体" w:hAnsi="宋体" w:hint="eastAsia"/>
                <w:szCs w:val="21"/>
              </w:rPr>
              <w:t xml:space="preserve"> 合作开发房地产合同约定提供土地使用权的当事人不承担经营风险，只收取固定利益的，应当认定为</w:t>
            </w:r>
            <w:r>
              <w:rPr>
                <w:rFonts w:ascii="宋体" w:eastAsia="宋体" w:hAnsi="宋体" w:hint="eastAsia"/>
                <w:szCs w:val="21"/>
              </w:rPr>
              <w:lastRenderedPageBreak/>
              <w:t>土地使用权转让合同。</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第二十二条</w:t>
            </w:r>
            <w:r>
              <w:rPr>
                <w:rFonts w:ascii="宋体" w:eastAsia="宋体" w:hAnsi="宋体" w:hint="eastAsia"/>
                <w:szCs w:val="21"/>
              </w:rPr>
              <w:t xml:space="preserve"> 合作开发房地产合同约定提供资金的当事人不承担经营风险，只分配固定数量房屋的，应当认定为房屋买卖合同。</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第二十三条</w:t>
            </w:r>
            <w:r>
              <w:rPr>
                <w:rFonts w:ascii="宋体" w:eastAsia="宋体" w:hAnsi="宋体" w:hint="eastAsia"/>
                <w:szCs w:val="21"/>
              </w:rPr>
              <w:t xml:space="preserve"> 合作开发房地产合同约定提供资金的当事人不承担经营风险，只收取固定数额货币的，应当认定为借款合同。</w:t>
            </w:r>
          </w:p>
          <w:p w:rsidR="00DA4DEC" w:rsidRDefault="00DA4DEC" w:rsidP="00DA4DEC">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第二十四条</w:t>
            </w:r>
            <w:r>
              <w:rPr>
                <w:rFonts w:ascii="宋体" w:eastAsia="宋体" w:hAnsi="宋体" w:hint="eastAsia"/>
                <w:szCs w:val="21"/>
              </w:rPr>
              <w:t xml:space="preserve"> 合作开发房地产合同约定提供资金的当事人不承担经营风险，只以租赁或者其他形式使用房屋的，应当认定为房屋租赁合同。</w:t>
            </w:r>
          </w:p>
          <w:p w:rsidR="00DA4DEC" w:rsidRDefault="00DA4DEC" w:rsidP="00DA4DEC">
            <w:pPr>
              <w:wordWrap w:val="0"/>
              <w:topLinePunct/>
              <w:snapToGrid w:val="0"/>
              <w:spacing w:line="360" w:lineRule="auto"/>
              <w:ind w:firstLine="420"/>
              <w:rPr>
                <w:rFonts w:ascii="宋体" w:hAnsi="宋体" w:hint="eastAsia"/>
                <w:szCs w:val="21"/>
                <w:lang w:eastAsia="ko-KR"/>
              </w:rPr>
            </w:pPr>
          </w:p>
          <w:p w:rsidR="00DA4DEC" w:rsidRPr="00DA4DEC" w:rsidRDefault="00DA4DEC" w:rsidP="00DA4DEC">
            <w:pPr>
              <w:wordWrap w:val="0"/>
              <w:topLinePunct/>
              <w:snapToGrid w:val="0"/>
              <w:spacing w:line="360" w:lineRule="auto"/>
              <w:ind w:firstLine="420"/>
              <w:rPr>
                <w:rFonts w:ascii="宋体" w:hAnsi="宋体" w:hint="eastAsia"/>
                <w:szCs w:val="21"/>
                <w:lang w:eastAsia="ko-KR"/>
              </w:rPr>
            </w:pPr>
            <w:bookmarkStart w:id="0" w:name="_GoBack"/>
            <w:bookmarkEnd w:id="0"/>
          </w:p>
          <w:p w:rsidR="00DA4DEC" w:rsidRDefault="00DA4DEC" w:rsidP="00DA4DEC">
            <w:pPr>
              <w:wordWrap w:val="0"/>
              <w:topLinePunct/>
              <w:snapToGrid w:val="0"/>
              <w:spacing w:line="360" w:lineRule="auto"/>
              <w:rPr>
                <w:rFonts w:ascii="宋体" w:eastAsia="宋体" w:hAnsi="宋体" w:hint="eastAsia"/>
                <w:b/>
                <w:bCs/>
                <w:szCs w:val="21"/>
              </w:rPr>
            </w:pPr>
            <w:r>
              <w:rPr>
                <w:rFonts w:ascii="宋体" w:eastAsia="宋体" w:hAnsi="宋体" w:hint="eastAsia"/>
                <w:b/>
                <w:bCs/>
                <w:szCs w:val="21"/>
              </w:rPr>
              <w:t xml:space="preserve">　　四、其它</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第二十五条</w:t>
            </w:r>
            <w:r>
              <w:rPr>
                <w:rFonts w:ascii="宋体" w:eastAsia="宋体" w:hAnsi="宋体" w:hint="eastAsia"/>
                <w:szCs w:val="21"/>
              </w:rPr>
              <w:t xml:space="preserve"> 本解释自2005年8月1日起施行；施行后受理的第一审案件适用本解释。</w:t>
            </w:r>
          </w:p>
          <w:p w:rsidR="00DA4DEC" w:rsidRDefault="00DA4DEC" w:rsidP="00DA4DEC">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本解释施行前最高人民法院发布的司法解释与本解释不一致的，以本解释为准。</w:t>
            </w:r>
          </w:p>
          <w:p w:rsidR="00C64255" w:rsidRPr="00DA4DEC" w:rsidRDefault="00C64255" w:rsidP="00C64255">
            <w:pPr>
              <w:wordWrap w:val="0"/>
              <w:topLinePunct/>
              <w:snapToGrid w:val="0"/>
              <w:spacing w:line="360" w:lineRule="auto"/>
              <w:rPr>
                <w:rFonts w:ascii="宋体" w:eastAsia="宋体" w:hAnsi="宋体"/>
                <w:color w:val="000000" w:themeColor="text1"/>
                <w:szCs w:val="21"/>
              </w:rPr>
            </w:pPr>
          </w:p>
          <w:p w:rsidR="00FE1FE8" w:rsidRPr="00C64255"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36" w:rsidRDefault="00406936" w:rsidP="00C278F4">
      <w:r>
        <w:separator/>
      </w:r>
    </w:p>
  </w:endnote>
  <w:endnote w:type="continuationSeparator" w:id="0">
    <w:p w:rsidR="00406936" w:rsidRDefault="0040693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36" w:rsidRDefault="00406936" w:rsidP="00C278F4">
      <w:r>
        <w:separator/>
      </w:r>
    </w:p>
  </w:footnote>
  <w:footnote w:type="continuationSeparator" w:id="0">
    <w:p w:rsidR="00406936" w:rsidRDefault="00406936" w:rsidP="00C278F4">
      <w:r>
        <w:continuationSeparator/>
      </w:r>
    </w:p>
  </w:footnote>
  <w:footnote w:id="1">
    <w:p w:rsidR="00DA4DEC" w:rsidRDefault="00DA4DEC" w:rsidP="00DA4DEC">
      <w:pPr>
        <w:pStyle w:val="ac"/>
        <w:wordWrap w:val="0"/>
        <w:overflowPunct w:val="0"/>
        <w:topLinePunct/>
        <w:autoSpaceDN w:val="0"/>
        <w:adjustRightInd w:val="0"/>
        <w:spacing w:line="200" w:lineRule="exact"/>
        <w:ind w:left="160" w:hangingChars="100" w:hanging="160"/>
        <w:jc w:val="both"/>
        <w:rPr>
          <w:rFonts w:ascii="Malgun Gothic" w:eastAsia="Malgun Gothic" w:hAnsi="Malgun Gothic" w:cs="Malgun Gothic" w:hint="eastAsia"/>
          <w:color w:val="333333"/>
          <w:sz w:val="16"/>
          <w:szCs w:val="16"/>
          <w:shd w:val="clear" w:color="auto" w:fill="FFFFFF"/>
          <w:lang w:eastAsia="ko-KR"/>
        </w:rPr>
      </w:pPr>
      <w:r>
        <w:rPr>
          <w:rStyle w:val="ad"/>
          <w:sz w:val="16"/>
          <w:szCs w:val="16"/>
        </w:rPr>
        <w:footnoteRef/>
      </w:r>
      <w:r>
        <w:rPr>
          <w:rFonts w:hint="eastAsia"/>
          <w:sz w:val="16"/>
          <w:szCs w:val="16"/>
          <w:lang w:eastAsia="ko-KR"/>
        </w:rPr>
        <w:t xml:space="preserve"> </w:t>
      </w:r>
      <w:proofErr w:type="spellStart"/>
      <w:r>
        <w:rPr>
          <w:rFonts w:ascii="宋体" w:eastAsia="宋体" w:hAnsi="宋体" w:hint="eastAsia"/>
          <w:sz w:val="16"/>
          <w:szCs w:val="16"/>
          <w:lang w:eastAsia="ko-KR"/>
        </w:rPr>
        <w:t>划拨</w:t>
      </w:r>
      <w:proofErr w:type="spellEnd"/>
      <w:r>
        <w:rPr>
          <w:rFonts w:ascii="宋体" w:eastAsia="Malgun Gothic" w:hAnsi="宋体" w:hint="eastAsia"/>
          <w:sz w:val="16"/>
          <w:szCs w:val="16"/>
          <w:lang w:eastAsia="ko-KR"/>
        </w:rPr>
        <w:t>:</w:t>
      </w:r>
      <w:r>
        <w:rPr>
          <w:rFonts w:ascii="Arial" w:hAnsi="Arial" w:cs="Arial"/>
          <w:color w:val="333333"/>
          <w:sz w:val="16"/>
          <w:szCs w:val="16"/>
          <w:shd w:val="clear" w:color="auto" w:fill="FFFFFF"/>
          <w:lang w:eastAsia="ko-KR"/>
        </w:rPr>
        <w:t xml:space="preserve"> </w:t>
      </w:r>
      <w:proofErr w:type="spellStart"/>
      <w:r>
        <w:rPr>
          <w:rFonts w:ascii="Malgun Gothic" w:eastAsia="Malgun Gothic" w:hAnsi="Malgun Gothic" w:cs="Malgun Gothic" w:hint="eastAsia"/>
          <w:color w:val="333333"/>
          <w:sz w:val="16"/>
          <w:szCs w:val="16"/>
          <w:shd w:val="clear" w:color="auto" w:fill="FFFFFF"/>
          <w:lang w:eastAsia="ko-KR"/>
        </w:rPr>
        <w:t>현급</w:t>
      </w:r>
      <w:proofErr w:type="spellEnd"/>
      <w:r>
        <w:rPr>
          <w:rFonts w:ascii="Malgun Gothic" w:eastAsia="Malgun Gothic" w:hAnsi="Malgun Gothic" w:cs="Malgun Gothic" w:hint="eastAsia"/>
          <w:color w:val="333333"/>
          <w:sz w:val="16"/>
          <w:szCs w:val="16"/>
          <w:shd w:val="clear" w:color="auto" w:fill="FFFFFF"/>
          <w:lang w:eastAsia="ko-KR"/>
        </w:rPr>
        <w:t xml:space="preserve"> 이상의 인민정부 비준을 거쳐 토지사용자가 보상, 안치 등의 비용을 납부한 후 취득한 국유토지사용권 또는 </w:t>
      </w:r>
      <w:proofErr w:type="spellStart"/>
      <w:r>
        <w:rPr>
          <w:rFonts w:ascii="Malgun Gothic" w:eastAsia="Malgun Gothic" w:hAnsi="Malgun Gothic" w:cs="Malgun Gothic" w:hint="eastAsia"/>
          <w:color w:val="333333"/>
          <w:sz w:val="16"/>
          <w:szCs w:val="16"/>
          <w:shd w:val="clear" w:color="auto" w:fill="FFFFFF"/>
          <w:lang w:eastAsia="ko-KR"/>
        </w:rPr>
        <w:t>현급</w:t>
      </w:r>
      <w:proofErr w:type="spellEnd"/>
      <w:r>
        <w:rPr>
          <w:rFonts w:ascii="Malgun Gothic" w:eastAsia="Malgun Gothic" w:hAnsi="Malgun Gothic" w:cs="Malgun Gothic" w:hint="eastAsia"/>
          <w:color w:val="333333"/>
          <w:sz w:val="16"/>
          <w:szCs w:val="16"/>
          <w:shd w:val="clear" w:color="auto" w:fill="FFFFFF"/>
          <w:lang w:eastAsia="ko-KR"/>
        </w:rPr>
        <w:t xml:space="preserve"> 이상의 인민정부 비준을 거쳐 무상으로 취득한 국유토지사용권을 뜻함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0EF5DC8"/>
    <w:multiLevelType w:val="hybridMultilevel"/>
    <w:tmpl w:val="2B769A4A"/>
    <w:lvl w:ilvl="0" w:tplc="8F3A14C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4"/>
  </w:num>
  <w:num w:numId="2">
    <w:abstractNumId w:val="8"/>
  </w:num>
  <w:num w:numId="3">
    <w:abstractNumId w:val="2"/>
  </w:num>
  <w:num w:numId="4">
    <w:abstractNumId w:val="20"/>
  </w:num>
  <w:num w:numId="5">
    <w:abstractNumId w:val="4"/>
  </w:num>
  <w:num w:numId="6">
    <w:abstractNumId w:val="9"/>
  </w:num>
  <w:num w:numId="7">
    <w:abstractNumId w:val="24"/>
  </w:num>
  <w:num w:numId="8">
    <w:abstractNumId w:val="3"/>
  </w:num>
  <w:num w:numId="9">
    <w:abstractNumId w:val="22"/>
  </w:num>
  <w:num w:numId="10">
    <w:abstractNumId w:val="10"/>
  </w:num>
  <w:num w:numId="11">
    <w:abstractNumId w:val="19"/>
  </w:num>
  <w:num w:numId="12">
    <w:abstractNumId w:val="13"/>
  </w:num>
  <w:num w:numId="13">
    <w:abstractNumId w:val="25"/>
  </w:num>
  <w:num w:numId="14">
    <w:abstractNumId w:val="21"/>
  </w:num>
  <w:num w:numId="15">
    <w:abstractNumId w:val="11"/>
  </w:num>
  <w:num w:numId="16">
    <w:abstractNumId w:val="1"/>
  </w:num>
  <w:num w:numId="17">
    <w:abstractNumId w:val="17"/>
  </w:num>
  <w:num w:numId="18">
    <w:abstractNumId w:val="5"/>
  </w:num>
  <w:num w:numId="19">
    <w:abstractNumId w:val="7"/>
  </w:num>
  <w:num w:numId="20">
    <w:abstractNumId w:val="0"/>
  </w:num>
  <w:num w:numId="21">
    <w:abstractNumId w:val="23"/>
  </w:num>
  <w:num w:numId="22">
    <w:abstractNumId w:val="16"/>
  </w:num>
  <w:num w:numId="23">
    <w:abstractNumId w:val="12"/>
  </w:num>
  <w:num w:numId="24">
    <w:abstractNumId w:val="26"/>
  </w:num>
  <w:num w:numId="25">
    <w:abstractNumId w:val="6"/>
  </w:num>
  <w:num w:numId="26">
    <w:abstractNumId w:val="18"/>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17CC6"/>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95D87"/>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06936"/>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121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6425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A4DEC"/>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C64255"/>
    <w:pPr>
      <w:wordWrap w:val="0"/>
      <w:autoSpaceDE w:val="0"/>
      <w:autoSpaceDN w:val="0"/>
      <w:snapToGrid w:val="0"/>
      <w:spacing w:line="384" w:lineRule="auto"/>
      <w:textAlignment w:val="baseline"/>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15478734">
      <w:bodyDiv w:val="1"/>
      <w:marLeft w:val="0"/>
      <w:marRight w:val="0"/>
      <w:marTop w:val="0"/>
      <w:marBottom w:val="0"/>
      <w:divBdr>
        <w:top w:val="none" w:sz="0" w:space="0" w:color="auto"/>
        <w:left w:val="none" w:sz="0" w:space="0" w:color="auto"/>
        <w:bottom w:val="none" w:sz="0" w:space="0" w:color="auto"/>
        <w:right w:val="none" w:sz="0" w:space="0" w:color="auto"/>
      </w:divBdr>
    </w:div>
    <w:div w:id="843665391">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985347905">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1D1A-33C6-4494-B516-DB4F4996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7</Pages>
  <Words>1130</Words>
  <Characters>6442</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70</cp:revision>
  <dcterms:created xsi:type="dcterms:W3CDTF">2016-01-15T03:23:00Z</dcterms:created>
  <dcterms:modified xsi:type="dcterms:W3CDTF">2021-01-22T06:08:00Z</dcterms:modified>
</cp:coreProperties>
</file>