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19" w:rsidRPr="00FD1019" w:rsidRDefault="00FD1019" w:rsidP="00FD1019">
      <w:pPr>
        <w:wordWrap w:val="0"/>
        <w:autoSpaceDN w:val="0"/>
        <w:snapToGrid w:val="0"/>
        <w:spacing w:line="290" w:lineRule="atLeast"/>
        <w:jc w:val="center"/>
        <w:rPr>
          <w:rFonts w:ascii="한컴바탕" w:eastAsia="한컴바탕" w:hAnsi="한컴바탕" w:cs="한컴바탕" w:hint="eastAsia"/>
          <w:b/>
          <w:spacing w:val="-6"/>
          <w:sz w:val="44"/>
          <w:szCs w:val="21"/>
          <w:lang w:eastAsia="ko-KR"/>
        </w:rPr>
      </w:pPr>
      <w:r w:rsidRPr="00FD1019">
        <w:rPr>
          <w:rFonts w:ascii="한컴바탕" w:eastAsia="한컴바탕" w:hAnsi="한컴바탕" w:cs="한컴바탕" w:hint="eastAsia"/>
          <w:b/>
          <w:spacing w:val="-6"/>
          <w:sz w:val="44"/>
          <w:szCs w:val="21"/>
          <w:lang w:eastAsia="ko-KR"/>
        </w:rPr>
        <w:t>첨부파일</w:t>
      </w:r>
      <w:bookmarkStart w:id="0" w:name="_GoBack"/>
      <w:bookmarkEnd w:id="0"/>
    </w:p>
    <w:p w:rsidR="00FD1019" w:rsidRDefault="00FD1019" w:rsidP="00EB2852">
      <w:pPr>
        <w:wordWrap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N w:val="0"/>
        <w:snapToGrid w:val="0"/>
        <w:spacing w:line="290" w:lineRule="atLeas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  <w:r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  <w:t>&lt;</w:t>
      </w:r>
      <w:r w:rsidR="00EB2852" w:rsidRPr="000D43D0"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  <w:t xml:space="preserve">월간 단위 환산 후의 </w:t>
      </w:r>
      <w:proofErr w:type="spellStart"/>
      <w:r w:rsidR="00EB2852" w:rsidRPr="000D43D0"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  <w:t>종합소득세율표</w:t>
      </w:r>
      <w:proofErr w:type="spellEnd"/>
      <w:r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  <w:t>&gt;</w:t>
      </w:r>
    </w:p>
    <w:p w:rsidR="00FD1019" w:rsidRDefault="00FD1019" w:rsidP="00FD1019">
      <w:pPr>
        <w:wordWrap w:val="0"/>
        <w:autoSpaceDN w:val="0"/>
        <w:snapToGrid w:val="0"/>
        <w:spacing w:line="290" w:lineRule="atLeas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tbl>
      <w:tblPr>
        <w:tblpPr w:leftFromText="142" w:rightFromText="142" w:vertAnchor="page" w:horzAnchor="margin" w:tblpY="4036"/>
        <w:tblW w:w="9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5425"/>
        <w:gridCol w:w="1049"/>
        <w:gridCol w:w="2077"/>
      </w:tblGrid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등급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전월 과세소득액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세율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속산공제수</w:t>
            </w:r>
            <w:proofErr w:type="spellEnd"/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 미만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위안-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12,000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10%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210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12,000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위안-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20%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410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4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위안-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25%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660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5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위안-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30%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4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410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6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55,000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위안-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80,000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35%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7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160</w:t>
            </w:r>
          </w:p>
        </w:tc>
      </w:tr>
      <w:tr w:rsidR="00FD1019" w:rsidRPr="000D43D0" w:rsidTr="00FD1019">
        <w:trPr>
          <w:trHeight w:val="291"/>
          <w:tblCellSpacing w:w="0" w:type="dxa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7</w:t>
            </w:r>
          </w:p>
        </w:tc>
        <w:tc>
          <w:tcPr>
            <w:tcW w:w="5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8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0,000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위안 </w:t>
            </w:r>
            <w:proofErr w:type="spellStart"/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초과분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45%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0D43D0" w:rsidRDefault="00FD1019" w:rsidP="00FD101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15</w:t>
            </w:r>
            <w:r w:rsidRPr="000D43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</w:t>
            </w:r>
            <w:r w:rsidRPr="000D43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160</w:t>
            </w:r>
          </w:p>
        </w:tc>
      </w:tr>
    </w:tbl>
    <w:p w:rsidR="00FD1019" w:rsidRDefault="00FD1019" w:rsidP="00FD1019">
      <w:pPr>
        <w:wordWrap w:val="0"/>
        <w:autoSpaceDN w:val="0"/>
        <w:snapToGrid w:val="0"/>
        <w:spacing w:line="290" w:lineRule="atLeas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E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  <w:lang w:eastAsia="ko-KR"/>
        </w:rPr>
      </w:pPr>
    </w:p>
    <w:p w:rsidR="00FD1019" w:rsidRDefault="00FD1019" w:rsidP="00FD1019">
      <w:pPr>
        <w:wordWrap w:val="0"/>
        <w:autoSpaceDE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</w:rPr>
      </w:pPr>
      <w:r>
        <w:rPr>
          <w:rFonts w:ascii="한컴바탕" w:eastAsia="한컴바탕" w:hAnsi="한컴바탕" w:cs="한컴바탕" w:hint="eastAsia"/>
          <w:b/>
          <w:spacing w:val="-6"/>
          <w:szCs w:val="21"/>
        </w:rPr>
        <w:t>&lt;</w:t>
      </w:r>
      <w:r w:rsidRPr="00FD1019">
        <w:rPr>
          <w:rFonts w:ascii="SimSun" w:eastAsia="SimSun" w:hAnsi="SimSun" w:hint="eastAsia"/>
          <w:b/>
          <w:bCs/>
          <w:szCs w:val="21"/>
        </w:rPr>
        <w:t xml:space="preserve"> </w:t>
      </w:r>
      <w:r w:rsidRPr="005B4625">
        <w:rPr>
          <w:rFonts w:ascii="SimSun" w:eastAsia="SimSun" w:hAnsi="SimSun" w:hint="eastAsia"/>
          <w:b/>
          <w:bCs/>
          <w:szCs w:val="21"/>
        </w:rPr>
        <w:t>按月换算后的综合所得税率表</w:t>
      </w:r>
      <w:r>
        <w:rPr>
          <w:rFonts w:ascii="한컴바탕" w:eastAsia="한컴바탕" w:hAnsi="한컴바탕" w:cs="한컴바탕" w:hint="eastAsia"/>
          <w:b/>
          <w:spacing w:val="-6"/>
          <w:szCs w:val="21"/>
        </w:rPr>
        <w:t>&gt;</w:t>
      </w:r>
    </w:p>
    <w:p w:rsidR="00FD1019" w:rsidRDefault="00FD1019" w:rsidP="00FD1019">
      <w:pPr>
        <w:wordWrap w:val="0"/>
        <w:autoSpaceDE w:val="0"/>
        <w:autoSpaceDN w:val="0"/>
        <w:snapToGrid w:val="0"/>
        <w:spacing w:line="290" w:lineRule="atLeast"/>
        <w:jc w:val="left"/>
        <w:rPr>
          <w:rFonts w:ascii="한컴바탕" w:eastAsia="한컴바탕" w:hAnsi="한컴바탕" w:cs="한컴바탕" w:hint="eastAsia"/>
          <w:b/>
          <w:spacing w:val="-6"/>
          <w:szCs w:val="21"/>
        </w:rPr>
      </w:pPr>
    </w:p>
    <w:tbl>
      <w:tblPr>
        <w:tblW w:w="9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5462"/>
        <w:gridCol w:w="1056"/>
        <w:gridCol w:w="2091"/>
      </w:tblGrid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级数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全月应纳税所得额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税率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速算扣除数</w:t>
            </w:r>
          </w:p>
        </w:tc>
      </w:tr>
      <w:tr w:rsidR="00FD1019" w:rsidRPr="005B4625" w:rsidTr="00FD1019">
        <w:trPr>
          <w:trHeight w:val="306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不超过3000元的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3%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超过3000元至12000元的部分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10%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210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3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超过12000元至25000元的部分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20%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1410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4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超过25000元至35000元的部分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25%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2660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5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超过35000元至55000元的部分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30%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4410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6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超过55000元至80000元的部分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35%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7160</w:t>
            </w:r>
          </w:p>
        </w:tc>
      </w:tr>
      <w:tr w:rsidR="00FD1019" w:rsidRPr="005B4625" w:rsidTr="00FD1019">
        <w:trPr>
          <w:trHeight w:val="289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7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超过80000元的部分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45%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19" w:rsidRPr="005B4625" w:rsidRDefault="00FD1019" w:rsidP="00072F7B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5B4625">
              <w:rPr>
                <w:rFonts w:ascii="SimSun" w:eastAsia="SimSun" w:hAnsi="SimSun" w:hint="eastAsia"/>
                <w:szCs w:val="21"/>
              </w:rPr>
              <w:t>15160</w:t>
            </w:r>
          </w:p>
        </w:tc>
      </w:tr>
    </w:tbl>
    <w:p w:rsidR="00FD1019" w:rsidRPr="00FD1019" w:rsidRDefault="00FD1019" w:rsidP="00FD1019">
      <w:pPr>
        <w:wordWrap w:val="0"/>
        <w:autoSpaceDE w:val="0"/>
        <w:autoSpaceDN w:val="0"/>
        <w:snapToGrid w:val="0"/>
        <w:spacing w:line="290" w:lineRule="atLeast"/>
        <w:jc w:val="left"/>
        <w:rPr>
          <w:rFonts w:ascii="SimSun" w:eastAsia="SimSun" w:hAnsi="SimSun"/>
          <w:szCs w:val="21"/>
        </w:rPr>
      </w:pPr>
    </w:p>
    <w:p w:rsidR="00C10C4E" w:rsidRPr="00EB2852" w:rsidRDefault="00C10C4E">
      <w:pPr>
        <w:rPr>
          <w:lang w:eastAsia="ko-KR"/>
        </w:rPr>
      </w:pPr>
    </w:p>
    <w:sectPr w:rsidR="00C10C4E" w:rsidRPr="00EB28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52"/>
    <w:rsid w:val="008A0222"/>
    <w:rsid w:val="00C10C4E"/>
    <w:rsid w:val="00EB2852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52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52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2019-03-25T01:19:00Z</dcterms:created>
  <dcterms:modified xsi:type="dcterms:W3CDTF">2019-03-25T01:48:00Z</dcterms:modified>
</cp:coreProperties>
</file>