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8278C9" w:rsidRPr="008278C9" w:rsidRDefault="008278C9" w:rsidP="008278C9">
            <w:pPr>
              <w:wordWrap w:val="0"/>
              <w:topLinePunct/>
              <w:adjustRightInd w:val="0"/>
              <w:snapToGrid w:val="0"/>
              <w:spacing w:line="360" w:lineRule="auto"/>
              <w:jc w:val="center"/>
              <w:rPr>
                <w:rFonts w:ascii="Batang" w:eastAsia="Batang" w:hAnsi="Batang" w:cs="宋体"/>
                <w:b/>
                <w:bCs/>
                <w:snapToGrid w:val="0"/>
                <w:kern w:val="0"/>
                <w:sz w:val="26"/>
                <w:szCs w:val="21"/>
                <w:lang w:eastAsia="ko-KR"/>
              </w:rPr>
            </w:pPr>
            <w:r w:rsidRPr="008278C9">
              <w:rPr>
                <w:rFonts w:ascii="Batang" w:eastAsia="Batang" w:hAnsi="Batang" w:cs="宋体" w:hint="eastAsia"/>
                <w:b/>
                <w:bCs/>
                <w:snapToGrid w:val="0"/>
                <w:kern w:val="0"/>
                <w:sz w:val="26"/>
                <w:szCs w:val="21"/>
                <w:lang w:eastAsia="ko-KR"/>
              </w:rPr>
              <w:t xml:space="preserve">최고인민법원의 </w:t>
            </w:r>
          </w:p>
          <w:p w:rsidR="008278C9" w:rsidRPr="008278C9" w:rsidRDefault="008278C9" w:rsidP="008278C9">
            <w:pPr>
              <w:wordWrap w:val="0"/>
              <w:topLinePunct/>
              <w:adjustRightInd w:val="0"/>
              <w:snapToGrid w:val="0"/>
              <w:spacing w:line="360" w:lineRule="auto"/>
              <w:jc w:val="center"/>
              <w:rPr>
                <w:rFonts w:ascii="Batang" w:eastAsia="Batang" w:hAnsi="Batang" w:cs="宋体" w:hint="eastAsia"/>
                <w:b/>
                <w:bCs/>
                <w:snapToGrid w:val="0"/>
                <w:kern w:val="0"/>
                <w:sz w:val="26"/>
                <w:szCs w:val="21"/>
                <w:lang w:eastAsia="ko-KR"/>
              </w:rPr>
            </w:pPr>
            <w:r w:rsidRPr="008278C9">
              <w:rPr>
                <w:rFonts w:ascii="Batang" w:eastAsia="Batang" w:hAnsi="Batang" w:cs="宋体" w:hint="eastAsia"/>
                <w:b/>
                <w:bCs/>
                <w:snapToGrid w:val="0"/>
                <w:kern w:val="0"/>
                <w:sz w:val="26"/>
                <w:szCs w:val="21"/>
                <w:lang w:eastAsia="ko-KR"/>
              </w:rPr>
              <w:t xml:space="preserve">민사사건심리 시 소송시효제도 적용 </w:t>
            </w:r>
            <w:proofErr w:type="spellStart"/>
            <w:r w:rsidRPr="008278C9">
              <w:rPr>
                <w:rFonts w:ascii="Batang" w:eastAsia="Batang" w:hAnsi="Batang" w:cs="宋体" w:hint="eastAsia"/>
                <w:b/>
                <w:bCs/>
                <w:snapToGrid w:val="0"/>
                <w:kern w:val="0"/>
                <w:sz w:val="26"/>
                <w:szCs w:val="21"/>
                <w:lang w:eastAsia="ko-KR"/>
              </w:rPr>
              <w:t>몇가지</w:t>
            </w:r>
            <w:proofErr w:type="spellEnd"/>
            <w:r w:rsidRPr="008278C9">
              <w:rPr>
                <w:rFonts w:ascii="Batang" w:eastAsia="Batang" w:hAnsi="Batang" w:cs="宋体" w:hint="eastAsia"/>
                <w:b/>
                <w:bCs/>
                <w:snapToGrid w:val="0"/>
                <w:kern w:val="0"/>
                <w:sz w:val="26"/>
                <w:szCs w:val="21"/>
                <w:lang w:eastAsia="ko-KR"/>
              </w:rPr>
              <w:t xml:space="preserve"> 문제와 관한 규정</w:t>
            </w:r>
          </w:p>
          <w:p w:rsidR="008278C9" w:rsidRDefault="008278C9" w:rsidP="008278C9">
            <w:pPr>
              <w:pStyle w:val="ae"/>
              <w:topLinePunct/>
              <w:autoSpaceDE/>
              <w:spacing w:line="360" w:lineRule="auto"/>
              <w:ind w:firstLine="200"/>
              <w:rPr>
                <w:rFonts w:ascii="Gulim" w:eastAsia="Gulim" w:hAnsi="Gulim" w:cs="Haansoft Batang" w:hint="eastAsia"/>
                <w:sz w:val="21"/>
                <w:szCs w:val="21"/>
                <w:lang w:eastAsia="ko-KR"/>
              </w:rPr>
            </w:pP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(2008</w:t>
            </w:r>
            <w:r>
              <w:rPr>
                <w:rFonts w:ascii="Gulim" w:eastAsia="Gulim" w:hAnsi="Gulim" w:hint="eastAsia"/>
                <w:sz w:val="21"/>
                <w:szCs w:val="21"/>
                <w:lang w:eastAsia="ko-KR"/>
              </w:rPr>
              <w:t xml:space="preserve">년 </w:t>
            </w:r>
            <w:r>
              <w:rPr>
                <w:rFonts w:ascii="Gulim" w:eastAsia="Gulim" w:hAnsi="Gulim" w:cs="Haansoft Batang" w:hint="eastAsia"/>
                <w:sz w:val="21"/>
                <w:szCs w:val="21"/>
                <w:lang w:eastAsia="ko-KR"/>
              </w:rPr>
              <w:t>8</w:t>
            </w:r>
            <w:r>
              <w:rPr>
                <w:rFonts w:ascii="Gulim" w:eastAsia="Gulim" w:hAnsi="Gulim" w:hint="eastAsia"/>
                <w:sz w:val="21"/>
                <w:szCs w:val="21"/>
                <w:lang w:eastAsia="ko-KR"/>
              </w:rPr>
              <w:t xml:space="preserve">월 </w:t>
            </w:r>
            <w:r>
              <w:rPr>
                <w:rFonts w:ascii="Gulim" w:eastAsia="Gulim" w:hAnsi="Gulim" w:cs="Haansoft Batang" w:hint="eastAsia"/>
                <w:sz w:val="21"/>
                <w:szCs w:val="21"/>
                <w:lang w:eastAsia="ko-KR"/>
              </w:rPr>
              <w:t>11</w:t>
            </w:r>
            <w:r>
              <w:rPr>
                <w:rFonts w:ascii="Gulim" w:eastAsia="Gulim" w:hAnsi="Gulim" w:hint="eastAsia"/>
                <w:sz w:val="21"/>
                <w:szCs w:val="21"/>
                <w:lang w:eastAsia="ko-KR"/>
              </w:rPr>
              <w:t>일 최고인민법원 재판위원회 제</w:t>
            </w:r>
            <w:r>
              <w:rPr>
                <w:rFonts w:ascii="Gulim" w:eastAsia="Gulim" w:hAnsi="Gulim" w:cs="Haansoft Batang" w:hint="eastAsia"/>
                <w:sz w:val="21"/>
                <w:szCs w:val="21"/>
                <w:lang w:eastAsia="ko-KR"/>
              </w:rPr>
              <w:t>1450</w:t>
            </w:r>
            <w:r>
              <w:rPr>
                <w:rFonts w:ascii="Gulim" w:eastAsia="Gulim" w:hAnsi="Gulim" w:hint="eastAsia"/>
                <w:sz w:val="21"/>
                <w:szCs w:val="21"/>
                <w:lang w:eastAsia="ko-KR"/>
              </w:rPr>
              <w:t xml:space="preserve">차 회의에서 통과, </w:t>
            </w:r>
            <w:r>
              <w:rPr>
                <w:rFonts w:ascii="Gulim" w:eastAsia="Gulim" w:hAnsi="Gulim" w:cs="Batang" w:hint="eastAsia"/>
                <w:color w:val="000000" w:themeColor="text1"/>
                <w:szCs w:val="21"/>
                <w:lang w:eastAsia="ko-KR"/>
              </w:rPr>
              <w:t xml:space="preserve">2020년 12월 23일 최고인민법원 심판위원회 제1823차 회의 《&lt;민사심판 </w:t>
            </w:r>
            <w:proofErr w:type="spellStart"/>
            <w:r>
              <w:rPr>
                <w:rFonts w:ascii="Gulim" w:eastAsia="Gulim" w:hAnsi="Gulim" w:cs="Batang" w:hint="eastAsia"/>
                <w:color w:val="000000" w:themeColor="text1"/>
                <w:szCs w:val="21"/>
                <w:lang w:eastAsia="ko-KR"/>
              </w:rPr>
              <w:t>업무중</w:t>
            </w:r>
            <w:proofErr w:type="spellEnd"/>
            <w:r>
              <w:rPr>
                <w:rFonts w:ascii="Gulim" w:eastAsia="Gulim" w:hAnsi="Gulim" w:cs="Batang" w:hint="eastAsia"/>
                <w:color w:val="000000" w:themeColor="text1"/>
                <w:szCs w:val="21"/>
                <w:lang w:eastAsia="ko-KR"/>
              </w:rPr>
              <w:t xml:space="preserve"> &lt;</w:t>
            </w:r>
            <w:proofErr w:type="spellStart"/>
            <w:r>
              <w:rPr>
                <w:rFonts w:ascii="Gulim" w:eastAsia="Gulim" w:hAnsi="Gulim" w:cs="Batang" w:hint="eastAsia"/>
                <w:color w:val="000000" w:themeColor="text1"/>
                <w:szCs w:val="21"/>
                <w:lang w:eastAsia="ko-KR"/>
              </w:rPr>
              <w:t>중화인민공확</w:t>
            </w:r>
            <w:proofErr w:type="spellEnd"/>
            <w:r>
              <w:rPr>
                <w:rFonts w:ascii="Gulim" w:eastAsia="Gulim" w:hAnsi="Gulim" w:cs="Batang" w:hint="eastAsia"/>
                <w:color w:val="000000" w:themeColor="text1"/>
                <w:szCs w:val="21"/>
                <w:lang w:eastAsia="ko-KR"/>
              </w:rPr>
              <w:t xml:space="preserve"> </w:t>
            </w:r>
            <w:proofErr w:type="spellStart"/>
            <w:r>
              <w:rPr>
                <w:rFonts w:ascii="Gulim" w:eastAsia="Gulim" w:hAnsi="Gulim" w:cs="Batang" w:hint="eastAsia"/>
                <w:color w:val="000000" w:themeColor="text1"/>
                <w:szCs w:val="21"/>
                <w:lang w:eastAsia="ko-KR"/>
              </w:rPr>
              <w:t>공회법</w:t>
            </w:r>
            <w:proofErr w:type="spellEnd"/>
            <w:r>
              <w:rPr>
                <w:rFonts w:ascii="Gulim" w:eastAsia="Gulim" w:hAnsi="Gulim" w:cs="Batang" w:hint="eastAsia"/>
                <w:color w:val="000000" w:themeColor="text1"/>
                <w:szCs w:val="21"/>
                <w:lang w:eastAsia="ko-KR"/>
              </w:rPr>
              <w:t xml:space="preserve">&gt; 적용과 관련한 최고인민법원의 </w:t>
            </w:r>
            <w:proofErr w:type="spellStart"/>
            <w:r>
              <w:rPr>
                <w:rFonts w:ascii="Gulim" w:eastAsia="Gulim" w:hAnsi="Gulim" w:cs="Batang" w:hint="eastAsia"/>
                <w:color w:val="000000" w:themeColor="text1"/>
                <w:szCs w:val="21"/>
                <w:lang w:eastAsia="ko-KR"/>
              </w:rPr>
              <w:t>몇가지</w:t>
            </w:r>
            <w:proofErr w:type="spellEnd"/>
            <w:r>
              <w:rPr>
                <w:rFonts w:ascii="Gulim" w:eastAsia="Gulim" w:hAnsi="Gulim" w:cs="Batang" w:hint="eastAsia"/>
                <w:color w:val="000000" w:themeColor="text1"/>
                <w:szCs w:val="21"/>
                <w:lang w:eastAsia="ko-KR"/>
              </w:rPr>
              <w:t xml:space="preserve"> 해석&gt; 등 27건의 민사 종류 사법해석에 대한 결정》에 따라 제2차 개정, 2021년 1월 1일부터 시행</w:t>
            </w:r>
            <w:r>
              <w:rPr>
                <w:rFonts w:ascii="Gulim" w:eastAsia="Gulim" w:hAnsi="Gulim" w:hint="eastAsia"/>
                <w:color w:val="000000" w:themeColor="text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sz w:val="21"/>
                <w:szCs w:val="21"/>
                <w:lang w:eastAsia="ko-KR"/>
              </w:rPr>
              <w:t xml:space="preserve">소송시효제도와 관련한 법률규정을 정확하게 적용함으로써 당사자의 합법적 권익을 보호하기 위하여 『중화인민공화국 </w:t>
            </w:r>
            <w:proofErr w:type="spellStart"/>
            <w:r>
              <w:rPr>
                <w:rFonts w:ascii="Gulim" w:eastAsia="Gulim" w:hAnsi="Gulim" w:hint="eastAsia"/>
                <w:sz w:val="21"/>
                <w:szCs w:val="21"/>
                <w:lang w:eastAsia="ko-KR"/>
              </w:rPr>
              <w:t>민법전</w:t>
            </w:r>
            <w:proofErr w:type="spellEnd"/>
            <w:r>
              <w:rPr>
                <w:rFonts w:ascii="Gulim" w:eastAsia="Gulim" w:hAnsi="Gulim" w:hint="eastAsia"/>
                <w:sz w:val="21"/>
                <w:szCs w:val="21"/>
                <w:lang w:eastAsia="ko-KR"/>
              </w:rPr>
              <w:t>』</w:t>
            </w:r>
            <w:proofErr w:type="gramStart"/>
            <w:r>
              <w:rPr>
                <w:rFonts w:ascii="Gulim" w:eastAsia="Gulim" w:hAnsi="Gulim" w:cs="Haansoft Batang" w:hint="eastAsia"/>
                <w:sz w:val="21"/>
                <w:szCs w:val="21"/>
                <w:lang w:eastAsia="ko-KR"/>
              </w:rPr>
              <w:t>,</w:t>
            </w:r>
            <w:r>
              <w:rPr>
                <w:rFonts w:ascii="Gulim" w:eastAsia="Gulim" w:hAnsi="Gulim" w:hint="eastAsia"/>
                <w:sz w:val="21"/>
                <w:szCs w:val="21"/>
                <w:lang w:eastAsia="ko-KR"/>
              </w:rPr>
              <w:t>『</w:t>
            </w:r>
            <w:proofErr w:type="gramEnd"/>
            <w:r>
              <w:rPr>
                <w:rFonts w:ascii="Gulim" w:eastAsia="Gulim" w:hAnsi="Gulim" w:hint="eastAsia"/>
                <w:sz w:val="21"/>
                <w:szCs w:val="21"/>
                <w:lang w:eastAsia="ko-KR"/>
              </w:rPr>
              <w:t>중화인민공화국 민사소송법』 등의 법률규정에 의거하고 재판실무에 결부시켜 이 규정을 제정한다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1</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당사자는 채권청구권에 대하여 소송시효항변을 제출할 수 있다</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단</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하기 각호에 해당하는 채권청구권에 대하여 소송시효항변을 제출하는 경우 인민법원은 지지하지 아니한다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 xml:space="preserve">(1) </w:t>
            </w:r>
            <w:r>
              <w:rPr>
                <w:rFonts w:ascii="Gulim" w:eastAsia="Gulim" w:hAnsi="Gulim" w:hint="eastAsia"/>
                <w:sz w:val="21"/>
                <w:szCs w:val="21"/>
                <w:lang w:eastAsia="ko-KR"/>
              </w:rPr>
              <w:t>예금의 원금 및 이자청구권</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 xml:space="preserve">(2) </w:t>
            </w:r>
            <w:r>
              <w:rPr>
                <w:rFonts w:ascii="Gulim" w:eastAsia="Gulim" w:hAnsi="Gulim" w:hint="eastAsia"/>
                <w:sz w:val="21"/>
                <w:szCs w:val="21"/>
                <w:lang w:eastAsia="ko-KR"/>
              </w:rPr>
              <w:t>국채</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금융채권 지불 및 발행대상 불확정사채의 원금과 이자 청구권</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 xml:space="preserve">(3) </w:t>
            </w:r>
            <w:r>
              <w:rPr>
                <w:rFonts w:ascii="Gulim" w:eastAsia="Gulim" w:hAnsi="Gulim" w:hint="eastAsia"/>
                <w:sz w:val="21"/>
                <w:szCs w:val="21"/>
                <w:lang w:eastAsia="ko-KR"/>
              </w:rPr>
              <w:t>투자와 관련하여 발생한 출자불입청구권</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 xml:space="preserve">(4) </w:t>
            </w:r>
            <w:r>
              <w:rPr>
                <w:rFonts w:ascii="Gulim" w:eastAsia="Gulim" w:hAnsi="Gulim" w:hint="eastAsia"/>
                <w:sz w:val="21"/>
                <w:szCs w:val="21"/>
                <w:lang w:eastAsia="ko-KR"/>
              </w:rPr>
              <w:t>법에 따라 소송시효규정을 적용하지 아니하는 기타 채권청구권</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2</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당사자가 소송시효항변을 제출하지 아니한 이상</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인민법원이 소송시효문제를 해석하여서는 아니 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lastRenderedPageBreak/>
              <w:t>제</w:t>
            </w:r>
            <w:r>
              <w:rPr>
                <w:rFonts w:ascii="Gulim" w:eastAsia="Gulim" w:hAnsi="Gulim" w:cs="Haansoft Batang" w:hint="eastAsia"/>
                <w:b/>
                <w:bCs/>
                <w:sz w:val="21"/>
                <w:szCs w:val="21"/>
                <w:lang w:eastAsia="ko-KR"/>
              </w:rPr>
              <w:t>3</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 xml:space="preserve">당사자가 </w:t>
            </w:r>
            <w:r>
              <w:rPr>
                <w:rFonts w:ascii="Gulim" w:eastAsia="Gulim" w:hAnsi="Gulim" w:cs="Haansoft Batang" w:hint="eastAsia"/>
                <w:sz w:val="21"/>
                <w:szCs w:val="21"/>
                <w:lang w:eastAsia="ko-KR"/>
              </w:rPr>
              <w:t>1</w:t>
            </w:r>
            <w:r>
              <w:rPr>
                <w:rFonts w:ascii="Gulim" w:eastAsia="Gulim" w:hAnsi="Gulim" w:hint="eastAsia"/>
                <w:sz w:val="21"/>
                <w:szCs w:val="21"/>
                <w:lang w:eastAsia="ko-KR"/>
              </w:rPr>
              <w:t xml:space="preserve">심에서 소송시효항변을 제출하지 아니하고 </w:t>
            </w:r>
            <w:r>
              <w:rPr>
                <w:rFonts w:ascii="Gulim" w:eastAsia="Gulim" w:hAnsi="Gulim" w:cs="Haansoft Batang" w:hint="eastAsia"/>
                <w:sz w:val="21"/>
                <w:szCs w:val="21"/>
                <w:lang w:eastAsia="ko-KR"/>
              </w:rPr>
              <w:t>2</w:t>
            </w:r>
            <w:r>
              <w:rPr>
                <w:rFonts w:ascii="Gulim" w:eastAsia="Gulim" w:hAnsi="Gulim" w:hint="eastAsia"/>
                <w:sz w:val="21"/>
                <w:szCs w:val="21"/>
                <w:lang w:eastAsia="ko-KR"/>
              </w:rPr>
              <w:t>심에서 제출하는 경우 인민법원은 지지하지 아니한다</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단</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 xml:space="preserve">새로운 증거에 의하여 </w:t>
            </w:r>
            <w:proofErr w:type="spellStart"/>
            <w:r>
              <w:rPr>
                <w:rFonts w:ascii="Gulim" w:eastAsia="Gulim" w:hAnsi="Gulim" w:hint="eastAsia"/>
                <w:sz w:val="21"/>
                <w:szCs w:val="21"/>
                <w:lang w:eastAsia="ko-KR"/>
              </w:rPr>
              <w:t>상대측</w:t>
            </w:r>
            <w:proofErr w:type="spellEnd"/>
            <w:r>
              <w:rPr>
                <w:rFonts w:ascii="Gulim" w:eastAsia="Gulim" w:hAnsi="Gulim" w:hint="eastAsia"/>
                <w:sz w:val="21"/>
                <w:szCs w:val="21"/>
                <w:lang w:eastAsia="ko-KR"/>
              </w:rPr>
              <w:t xml:space="preserve"> 당사자의 청구가 소송시효기간을 경과하였음이 증명된 경우는 예외이다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sz w:val="21"/>
                <w:szCs w:val="21"/>
                <w:lang w:eastAsia="ko-KR"/>
              </w:rPr>
              <w:t>당사자가 전항의 규정에 따라 소송시효의 항변을 제출하지 않고 소송시효의 기간만료를 이유로 재심을 신청하거나 재심항변을 제출한 경우 인민법원은 이를 지지하지 아니한다</w:t>
            </w:r>
            <w:r>
              <w:rPr>
                <w:rFonts w:ascii="Gulim" w:eastAsia="Gulim" w:hAnsi="Gulim" w:cs="Haansoft Batang" w:hint="eastAsia"/>
                <w:sz w:val="21"/>
                <w:szCs w:val="21"/>
                <w:lang w:eastAsia="ko-KR"/>
              </w:rPr>
              <w:t xml:space="preserve">. </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4</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 xml:space="preserve">이행기한을 약정하지 아니한 계약으로서 </w:t>
            </w:r>
            <w:proofErr w:type="spellStart"/>
            <w:r>
              <w:rPr>
                <w:rFonts w:ascii="Gulim" w:eastAsia="Gulim" w:hAnsi="Gulim" w:hint="eastAsia"/>
                <w:sz w:val="21"/>
                <w:szCs w:val="21"/>
                <w:lang w:eastAsia="ko-KR"/>
              </w:rPr>
              <w:t>민법전</w:t>
            </w:r>
            <w:proofErr w:type="spellEnd"/>
            <w:r>
              <w:rPr>
                <w:rFonts w:ascii="Gulim" w:eastAsia="Gulim" w:hAnsi="Gulim" w:hint="eastAsia"/>
                <w:sz w:val="21"/>
                <w:szCs w:val="21"/>
                <w:lang w:eastAsia="ko-KR"/>
              </w:rPr>
              <w:t xml:space="preserve"> 제510조, 제511조의 규정에 따라 이행기한을 확정할 수 있는 경우 소송시효기간은 이행기간 만료일로부터 기산한다</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이행기한을 확정할 수 없는 경우 소송시효기간은 채권자가 채무자에게 요구한 이행유예기간 만료일로부터 기산한다</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단</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채무자가 채권자의 제</w:t>
            </w:r>
            <w:r>
              <w:rPr>
                <w:rFonts w:ascii="Gulim" w:eastAsia="Gulim" w:hAnsi="Gulim" w:cs="Haansoft Batang" w:hint="eastAsia"/>
                <w:sz w:val="21"/>
                <w:szCs w:val="21"/>
                <w:lang w:eastAsia="ko-KR"/>
              </w:rPr>
              <w:t>1</w:t>
            </w:r>
            <w:r>
              <w:rPr>
                <w:rFonts w:ascii="Gulim" w:eastAsia="Gulim" w:hAnsi="Gulim" w:hint="eastAsia"/>
                <w:sz w:val="21"/>
                <w:szCs w:val="21"/>
                <w:lang w:eastAsia="ko-KR"/>
              </w:rPr>
              <w:t>차 권리주장 시에 의무 불이행을 명확히 표시한 경우 소송시효기간은 의무 불이행을 명확히 표시한 날로부터 기산한다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5</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취소권을 향유하는 당사자 일방이 계약취소를 청구하는 경우 민법전의 제척기간 관련규정을 적용하여야 한다</w:t>
            </w:r>
            <w:r>
              <w:rPr>
                <w:rFonts w:ascii="Gulim" w:eastAsia="Gulim" w:hAnsi="Gulim" w:cs="Haansoft Batang" w:hint="eastAsia"/>
                <w:sz w:val="21"/>
                <w:szCs w:val="21"/>
                <w:lang w:eastAsia="ko-KR"/>
              </w:rPr>
              <w:t>.</w:t>
            </w:r>
            <w:r>
              <w:rPr>
                <w:rFonts w:ascii="Gulim" w:eastAsia="Gulim" w:hAnsi="Gulim" w:hint="eastAsia"/>
                <w:sz w:val="21"/>
                <w:szCs w:val="21"/>
                <w:lang w:eastAsia="ko-KR"/>
              </w:rPr>
              <w:t xml:space="preserve"> </w:t>
            </w:r>
            <w:proofErr w:type="spellStart"/>
            <w:r>
              <w:rPr>
                <w:rFonts w:ascii="Gulim" w:eastAsia="Gulim" w:hAnsi="Gulim" w:hint="eastAsia"/>
                <w:sz w:val="21"/>
                <w:szCs w:val="21"/>
                <w:lang w:eastAsia="ko-KR"/>
              </w:rPr>
              <w:t>상대측</w:t>
            </w:r>
            <w:proofErr w:type="spellEnd"/>
            <w:r>
              <w:rPr>
                <w:rFonts w:ascii="Gulim" w:eastAsia="Gulim" w:hAnsi="Gulim" w:hint="eastAsia"/>
                <w:sz w:val="21"/>
                <w:szCs w:val="21"/>
                <w:lang w:eastAsia="ko-KR"/>
              </w:rPr>
              <w:t xml:space="preserve"> 당사자가 계약취소청구권에 대하여 소송시효항변을 제출하는 경우 인민법원은 지지하지 아니한다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sz w:val="21"/>
                <w:szCs w:val="21"/>
                <w:lang w:eastAsia="ko-KR"/>
              </w:rPr>
              <w:t>계약취소 후 재산반환</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손실배상 청구권의 소송시효기간은 계약취소일로부터 기산한다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6</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 xml:space="preserve">부당이윤반환 청구권에 대한 소송시효기간은 당사자 일방이 부당이윤 취득사실과 그 </w:t>
            </w:r>
            <w:proofErr w:type="spellStart"/>
            <w:r>
              <w:rPr>
                <w:rFonts w:ascii="Gulim" w:eastAsia="Gulim" w:hAnsi="Gulim" w:hint="eastAsia"/>
                <w:sz w:val="21"/>
                <w:szCs w:val="21"/>
                <w:lang w:eastAsia="ko-KR"/>
              </w:rPr>
              <w:t>상대측</w:t>
            </w:r>
            <w:proofErr w:type="spellEnd"/>
            <w:r>
              <w:rPr>
                <w:rFonts w:ascii="Gulim" w:eastAsia="Gulim" w:hAnsi="Gulim" w:hint="eastAsia"/>
                <w:sz w:val="21"/>
                <w:szCs w:val="21"/>
                <w:lang w:eastAsia="ko-KR"/>
              </w:rPr>
              <w:t xml:space="preserve"> 당사자를 알았거나 응당 알 수 있는 알로부터 기산한다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7</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무연고관리행위로 발생한</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관리자의 필요한 관리비용과 손실배상 청구권의 소송시</w:t>
            </w:r>
            <w:r>
              <w:rPr>
                <w:rFonts w:ascii="Gulim" w:eastAsia="Gulim" w:hAnsi="Gulim" w:hint="eastAsia"/>
                <w:sz w:val="21"/>
                <w:szCs w:val="21"/>
                <w:lang w:eastAsia="ko-KR"/>
              </w:rPr>
              <w:lastRenderedPageBreak/>
              <w:t>효는 무연고관리행위를 완료한 후 관리자가 본인을 알았거나 응당 알 수 있는 날로부터 기산한다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sz w:val="21"/>
                <w:szCs w:val="21"/>
                <w:lang w:eastAsia="ko-KR"/>
              </w:rPr>
              <w:t>부당무연고관리행위로 발생한</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본인의 손실배상청구권의 소송시효기간은 그가 관리자와 손실사실을 알았거나 응당 알 수 있는 날로부터 기산한다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8</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 xml:space="preserve">하기 각호의 상황 중 </w:t>
            </w:r>
            <w:r>
              <w:rPr>
                <w:rFonts w:ascii="Gulim" w:eastAsia="Gulim" w:hAnsi="Gulim" w:cs="Haansoft Batang" w:hint="eastAsia"/>
                <w:sz w:val="21"/>
                <w:szCs w:val="21"/>
                <w:lang w:eastAsia="ko-KR"/>
              </w:rPr>
              <w:t>1</w:t>
            </w:r>
            <w:r>
              <w:rPr>
                <w:rFonts w:ascii="Gulim" w:eastAsia="Gulim" w:hAnsi="Gulim" w:hint="eastAsia"/>
                <w:sz w:val="21"/>
                <w:szCs w:val="21"/>
                <w:lang w:eastAsia="ko-KR"/>
              </w:rPr>
              <w:t xml:space="preserve">에 해당하는 경우에는 </w:t>
            </w:r>
            <w:proofErr w:type="spellStart"/>
            <w:r>
              <w:rPr>
                <w:rFonts w:ascii="Gulim" w:eastAsia="Gulim" w:hAnsi="Gulim" w:hint="eastAsia"/>
                <w:sz w:val="21"/>
                <w:szCs w:val="21"/>
                <w:lang w:eastAsia="ko-KR"/>
              </w:rPr>
              <w:t>민법전</w:t>
            </w:r>
            <w:proofErr w:type="spellEnd"/>
            <w:r>
              <w:rPr>
                <w:rFonts w:ascii="Gulim" w:eastAsia="Gulim" w:hAnsi="Gulim" w:hint="eastAsia"/>
                <w:sz w:val="21"/>
                <w:szCs w:val="21"/>
                <w:lang w:eastAsia="ko-KR"/>
              </w:rPr>
              <w:t xml:space="preserve"> 제</w:t>
            </w:r>
            <w:r>
              <w:rPr>
                <w:rFonts w:ascii="Gulim" w:eastAsia="Gulim" w:hAnsi="Gulim" w:cs="Haansoft Batang" w:hint="eastAsia"/>
                <w:sz w:val="21"/>
                <w:szCs w:val="21"/>
                <w:lang w:eastAsia="ko-KR"/>
              </w:rPr>
              <w:t>195</w:t>
            </w:r>
            <w:r>
              <w:rPr>
                <w:rFonts w:ascii="Gulim" w:eastAsia="Gulim" w:hAnsi="Gulim" w:hint="eastAsia"/>
                <w:sz w:val="21"/>
                <w:szCs w:val="21"/>
                <w:lang w:eastAsia="ko-KR"/>
              </w:rPr>
              <w:t>조가 규정한 “</w:t>
            </w:r>
            <w:proofErr w:type="spellStart"/>
            <w:r>
              <w:rPr>
                <w:rFonts w:ascii="Gulim" w:eastAsia="Gulim" w:hAnsi="Gulim" w:hint="eastAsia"/>
                <w:sz w:val="21"/>
                <w:szCs w:val="21"/>
                <w:lang w:eastAsia="ko-KR"/>
              </w:rPr>
              <w:t>권리인이</w:t>
            </w:r>
            <w:proofErr w:type="spellEnd"/>
            <w:r>
              <w:rPr>
                <w:rFonts w:ascii="Gulim" w:eastAsia="Gulim" w:hAnsi="Gulim" w:hint="eastAsia"/>
                <w:sz w:val="21"/>
                <w:szCs w:val="21"/>
                <w:lang w:eastAsia="ko-KR"/>
              </w:rPr>
              <w:t xml:space="preserve"> 의무자에게 이행 청구를 제기하여”</w:t>
            </w:r>
            <w:r>
              <w:rPr>
                <w:rFonts w:ascii="Gulim" w:eastAsia="Gulim" w:hAnsi="Gulim" w:cs="Gulim" w:hint="eastAsia"/>
                <w:sz w:val="21"/>
                <w:szCs w:val="21"/>
                <w:lang w:eastAsia="ko-KR"/>
              </w:rPr>
              <w:t xml:space="preserve"> </w:t>
            </w:r>
            <w:r>
              <w:rPr>
                <w:rFonts w:ascii="Gulim" w:eastAsia="Gulim" w:hAnsi="Gulim" w:hint="eastAsia"/>
                <w:sz w:val="21"/>
                <w:szCs w:val="21"/>
                <w:lang w:eastAsia="ko-KR"/>
              </w:rPr>
              <w:t>소송시효 중단효력이 발생한 것으로 인정하여야 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 xml:space="preserve">(1) </w:t>
            </w:r>
            <w:r>
              <w:rPr>
                <w:rFonts w:ascii="Gulim" w:eastAsia="Gulim" w:hAnsi="Gulim" w:hint="eastAsia"/>
                <w:sz w:val="21"/>
                <w:szCs w:val="21"/>
                <w:lang w:eastAsia="ko-KR"/>
              </w:rPr>
              <w:t xml:space="preserve">당사자일방이 직접 </w:t>
            </w:r>
            <w:proofErr w:type="spellStart"/>
            <w:r>
              <w:rPr>
                <w:rFonts w:ascii="Gulim" w:eastAsia="Gulim" w:hAnsi="Gulim" w:hint="eastAsia"/>
                <w:sz w:val="21"/>
                <w:szCs w:val="21"/>
                <w:lang w:eastAsia="ko-KR"/>
              </w:rPr>
              <w:t>상대측</w:t>
            </w:r>
            <w:proofErr w:type="spellEnd"/>
            <w:r>
              <w:rPr>
                <w:rFonts w:ascii="Gulim" w:eastAsia="Gulim" w:hAnsi="Gulim" w:hint="eastAsia"/>
                <w:sz w:val="21"/>
                <w:szCs w:val="21"/>
                <w:lang w:eastAsia="ko-KR"/>
              </w:rPr>
              <w:t xml:space="preserve"> 당사자에게 권리주장문서를 송달하였고 </w:t>
            </w:r>
            <w:proofErr w:type="spellStart"/>
            <w:r>
              <w:rPr>
                <w:rFonts w:ascii="Gulim" w:eastAsia="Gulim" w:hAnsi="Gulim" w:hint="eastAsia"/>
                <w:sz w:val="21"/>
                <w:szCs w:val="21"/>
                <w:lang w:eastAsia="ko-KR"/>
              </w:rPr>
              <w:t>상대측</w:t>
            </w:r>
            <w:proofErr w:type="spellEnd"/>
            <w:r>
              <w:rPr>
                <w:rFonts w:ascii="Gulim" w:eastAsia="Gulim" w:hAnsi="Gulim" w:hint="eastAsia"/>
                <w:sz w:val="21"/>
                <w:szCs w:val="21"/>
                <w:lang w:eastAsia="ko-KR"/>
              </w:rPr>
              <w:t xml:space="preserve"> 당사자가 문서에 서명</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날인하였거나 서명</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 xml:space="preserve">날인하지 않았지만 기타 방식으로 </w:t>
            </w:r>
            <w:proofErr w:type="spellStart"/>
            <w:r>
              <w:rPr>
                <w:rFonts w:ascii="Gulim" w:eastAsia="Gulim" w:hAnsi="Gulim" w:hint="eastAsia"/>
                <w:sz w:val="21"/>
                <w:szCs w:val="21"/>
                <w:lang w:eastAsia="ko-KR"/>
              </w:rPr>
              <w:t>당해문서가</w:t>
            </w:r>
            <w:proofErr w:type="spellEnd"/>
            <w:r>
              <w:rPr>
                <w:rFonts w:ascii="Gulim" w:eastAsia="Gulim" w:hAnsi="Gulim" w:hint="eastAsia"/>
                <w:sz w:val="21"/>
                <w:szCs w:val="21"/>
                <w:lang w:eastAsia="ko-KR"/>
              </w:rPr>
              <w:t xml:space="preserve"> </w:t>
            </w:r>
            <w:proofErr w:type="spellStart"/>
            <w:r>
              <w:rPr>
                <w:rFonts w:ascii="Gulim" w:eastAsia="Gulim" w:hAnsi="Gulim" w:hint="eastAsia"/>
                <w:sz w:val="21"/>
                <w:szCs w:val="21"/>
                <w:lang w:eastAsia="ko-KR"/>
              </w:rPr>
              <w:t>상대측</w:t>
            </w:r>
            <w:proofErr w:type="spellEnd"/>
            <w:r>
              <w:rPr>
                <w:rFonts w:ascii="Gulim" w:eastAsia="Gulim" w:hAnsi="Gulim" w:hint="eastAsia"/>
                <w:sz w:val="21"/>
                <w:szCs w:val="21"/>
                <w:lang w:eastAsia="ko-KR"/>
              </w:rPr>
              <w:t xml:space="preserve"> 당사자에게 송달되었음을 증명할 수 있는 상황</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 xml:space="preserve">(2) </w:t>
            </w:r>
            <w:r>
              <w:rPr>
                <w:rFonts w:ascii="Gulim" w:eastAsia="Gulim" w:hAnsi="Gulim" w:hint="eastAsia"/>
                <w:sz w:val="21"/>
                <w:szCs w:val="21"/>
                <w:lang w:eastAsia="ko-KR"/>
              </w:rPr>
              <w:t xml:space="preserve">당사자일방이 서신발송이나 데이터전무 방식으로 권리를 주장하였고 서신이나 데이터전문이 </w:t>
            </w:r>
            <w:proofErr w:type="spellStart"/>
            <w:r>
              <w:rPr>
                <w:rFonts w:ascii="Gulim" w:eastAsia="Gulim" w:hAnsi="Gulim" w:hint="eastAsia"/>
                <w:sz w:val="21"/>
                <w:szCs w:val="21"/>
                <w:lang w:eastAsia="ko-KR"/>
              </w:rPr>
              <w:t>상대측</w:t>
            </w:r>
            <w:proofErr w:type="spellEnd"/>
            <w:r>
              <w:rPr>
                <w:rFonts w:ascii="Gulim" w:eastAsia="Gulim" w:hAnsi="Gulim" w:hint="eastAsia"/>
                <w:sz w:val="21"/>
                <w:szCs w:val="21"/>
                <w:lang w:eastAsia="ko-KR"/>
              </w:rPr>
              <w:t xml:space="preserve"> 당사자에게 전달되었거나 응당 전달되었음을 증명할 수 있는 상황</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 xml:space="preserve">(3) </w:t>
            </w:r>
            <w:r>
              <w:rPr>
                <w:rFonts w:ascii="Gulim" w:eastAsia="Gulim" w:hAnsi="Gulim" w:hint="eastAsia"/>
                <w:sz w:val="21"/>
                <w:szCs w:val="21"/>
                <w:lang w:eastAsia="ko-KR"/>
              </w:rPr>
              <w:t xml:space="preserve">금융기구인 당사자일방이 법률규정이나 당사 간의 약정에 따라 </w:t>
            </w:r>
            <w:proofErr w:type="spellStart"/>
            <w:r>
              <w:rPr>
                <w:rFonts w:ascii="Gulim" w:eastAsia="Gulim" w:hAnsi="Gulim" w:hint="eastAsia"/>
                <w:sz w:val="21"/>
                <w:szCs w:val="21"/>
                <w:lang w:eastAsia="ko-KR"/>
              </w:rPr>
              <w:t>상대측</w:t>
            </w:r>
            <w:proofErr w:type="spellEnd"/>
            <w:r>
              <w:rPr>
                <w:rFonts w:ascii="Gulim" w:eastAsia="Gulim" w:hAnsi="Gulim" w:hint="eastAsia"/>
                <w:sz w:val="21"/>
                <w:szCs w:val="21"/>
                <w:lang w:eastAsia="ko-KR"/>
              </w:rPr>
              <w:t xml:space="preserve"> 당사자 계정에서 미수금의 원금과 이자를 공제한 상황</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 xml:space="preserve">(4) </w:t>
            </w:r>
            <w:r>
              <w:rPr>
                <w:rFonts w:ascii="Gulim" w:eastAsia="Gulim" w:hAnsi="Gulim" w:hint="eastAsia"/>
                <w:sz w:val="21"/>
                <w:szCs w:val="21"/>
                <w:lang w:eastAsia="ko-KR"/>
              </w:rPr>
              <w:t xml:space="preserve">당사자일방이 행방불명이고 </w:t>
            </w:r>
            <w:proofErr w:type="spellStart"/>
            <w:r>
              <w:rPr>
                <w:rFonts w:ascii="Gulim" w:eastAsia="Gulim" w:hAnsi="Gulim" w:hint="eastAsia"/>
                <w:sz w:val="21"/>
                <w:szCs w:val="21"/>
                <w:lang w:eastAsia="ko-KR"/>
              </w:rPr>
              <w:t>상대측</w:t>
            </w:r>
            <w:proofErr w:type="spellEnd"/>
            <w:r>
              <w:rPr>
                <w:rFonts w:ascii="Gulim" w:eastAsia="Gulim" w:hAnsi="Gulim" w:hint="eastAsia"/>
                <w:sz w:val="21"/>
                <w:szCs w:val="21"/>
                <w:lang w:eastAsia="ko-KR"/>
              </w:rPr>
              <w:t xml:space="preserve"> 당사자가 국가 급 매체 또는 행방불명 당사자의 주소지의 영향력이 있는 성급매체에 권리주장내용을 게재한 상황</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단</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법률과 사법해석이 별도의 규정을 하는 경우에는 그 규정을 적용한다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sz w:val="21"/>
                <w:szCs w:val="21"/>
                <w:lang w:eastAsia="ko-KR"/>
              </w:rPr>
              <w:t>전항 제</w:t>
            </w:r>
            <w:r>
              <w:rPr>
                <w:rFonts w:ascii="Gulim" w:eastAsia="Gulim" w:hAnsi="Gulim" w:cs="Haansoft Batang" w:hint="eastAsia"/>
                <w:sz w:val="21"/>
                <w:szCs w:val="21"/>
                <w:lang w:eastAsia="ko-KR"/>
              </w:rPr>
              <w:t>(1)</w:t>
            </w:r>
            <w:r>
              <w:rPr>
                <w:rFonts w:ascii="Gulim" w:eastAsia="Gulim" w:hAnsi="Gulim" w:hint="eastAsia"/>
                <w:sz w:val="21"/>
                <w:szCs w:val="21"/>
                <w:lang w:eastAsia="ko-KR"/>
              </w:rPr>
              <w:t xml:space="preserve">호 상황에서 </w:t>
            </w:r>
            <w:proofErr w:type="spellStart"/>
            <w:r>
              <w:rPr>
                <w:rFonts w:ascii="Gulim" w:eastAsia="Gulim" w:hAnsi="Gulim" w:hint="eastAsia"/>
                <w:sz w:val="21"/>
                <w:szCs w:val="21"/>
                <w:lang w:eastAsia="ko-KR"/>
              </w:rPr>
              <w:t>상대측</w:t>
            </w:r>
            <w:proofErr w:type="spellEnd"/>
            <w:r>
              <w:rPr>
                <w:rFonts w:ascii="Gulim" w:eastAsia="Gulim" w:hAnsi="Gulim" w:hint="eastAsia"/>
                <w:sz w:val="21"/>
                <w:szCs w:val="21"/>
                <w:lang w:eastAsia="ko-KR"/>
              </w:rPr>
              <w:t xml:space="preserve"> 당사자가 법인이나 기타조직인 경우 서명</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날인 자는 법정대표자</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주요책임자</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서신수발책임부문 또는 수권주체일 수 있다</w:t>
            </w:r>
            <w:r>
              <w:rPr>
                <w:rFonts w:ascii="Gulim" w:eastAsia="Gulim" w:hAnsi="Gulim" w:cs="Haansoft Batang" w:hint="eastAsia"/>
                <w:sz w:val="21"/>
                <w:szCs w:val="21"/>
                <w:lang w:eastAsia="ko-KR"/>
              </w:rPr>
              <w:t xml:space="preserve">. </w:t>
            </w:r>
            <w:proofErr w:type="spellStart"/>
            <w:r>
              <w:rPr>
                <w:rFonts w:ascii="Gulim" w:eastAsia="Gulim" w:hAnsi="Gulim" w:hint="eastAsia"/>
                <w:sz w:val="21"/>
                <w:szCs w:val="21"/>
                <w:lang w:eastAsia="ko-KR"/>
              </w:rPr>
              <w:t>상대측</w:t>
            </w:r>
            <w:proofErr w:type="spellEnd"/>
            <w:r>
              <w:rPr>
                <w:rFonts w:ascii="Gulim" w:eastAsia="Gulim" w:hAnsi="Gulim" w:hint="eastAsia"/>
                <w:sz w:val="21"/>
                <w:szCs w:val="21"/>
                <w:lang w:eastAsia="ko-KR"/>
              </w:rPr>
              <w:t xml:space="preserve"> 당사자가 자연인인 </w:t>
            </w:r>
            <w:r>
              <w:rPr>
                <w:rFonts w:ascii="Gulim" w:eastAsia="Gulim" w:hAnsi="Gulim" w:hint="eastAsia"/>
                <w:sz w:val="21"/>
                <w:szCs w:val="21"/>
                <w:lang w:eastAsia="ko-KR"/>
              </w:rPr>
              <w:lastRenderedPageBreak/>
              <w:t>경우에는 자연인 본인</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 xml:space="preserve">동거하는 완전 행위능력자인 친족이나 </w:t>
            </w:r>
            <w:proofErr w:type="spellStart"/>
            <w:r>
              <w:rPr>
                <w:rFonts w:ascii="Gulim" w:eastAsia="Gulim" w:hAnsi="Gulim" w:hint="eastAsia"/>
                <w:sz w:val="21"/>
                <w:szCs w:val="21"/>
                <w:lang w:eastAsia="ko-KR"/>
              </w:rPr>
              <w:t>수권자</w:t>
            </w:r>
            <w:proofErr w:type="spellEnd"/>
            <w:r>
              <w:rPr>
                <w:rFonts w:ascii="Gulim" w:eastAsia="Gulim" w:hAnsi="Gulim" w:hint="eastAsia"/>
                <w:sz w:val="21"/>
                <w:szCs w:val="21"/>
                <w:lang w:eastAsia="ko-KR"/>
              </w:rPr>
              <w:t xml:space="preserve"> 주체일 수 있다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9</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 xml:space="preserve">권리자가 동일채권의 </w:t>
            </w:r>
            <w:proofErr w:type="spellStart"/>
            <w:r>
              <w:rPr>
                <w:rFonts w:ascii="Gulim" w:eastAsia="Gulim" w:hAnsi="Gulim" w:hint="eastAsia"/>
                <w:sz w:val="21"/>
                <w:szCs w:val="21"/>
                <w:lang w:eastAsia="ko-KR"/>
              </w:rPr>
              <w:t>일부채권에</w:t>
            </w:r>
            <w:proofErr w:type="spellEnd"/>
            <w:r>
              <w:rPr>
                <w:rFonts w:ascii="Gulim" w:eastAsia="Gulim" w:hAnsi="Gulim" w:hint="eastAsia"/>
                <w:sz w:val="21"/>
                <w:szCs w:val="21"/>
                <w:lang w:eastAsia="ko-KR"/>
              </w:rPr>
              <w:t xml:space="preserve"> 대하여 권리를 주장한 경우 소송시효 중단효력이 나머지 채권에도 미친다</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단</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권리자가 나머지 채권의 포기를 명확하게 표시한 경우는 예외이다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10</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당사자일방이 인민법원에 기소장을 제출하였거나 구두로 기소한 경우 소송시효는 기소장 제출일 또는 구두기소일로부터 중단한다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11</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 xml:space="preserve">하기 각호 중 </w:t>
            </w:r>
            <w:r>
              <w:rPr>
                <w:rFonts w:ascii="Gulim" w:eastAsia="Gulim" w:hAnsi="Gulim" w:cs="Haansoft Batang" w:hint="eastAsia"/>
                <w:sz w:val="21"/>
                <w:szCs w:val="21"/>
                <w:lang w:eastAsia="ko-KR"/>
              </w:rPr>
              <w:t>1</w:t>
            </w:r>
            <w:r>
              <w:rPr>
                <w:rFonts w:ascii="Gulim" w:eastAsia="Gulim" w:hAnsi="Gulim" w:hint="eastAsia"/>
                <w:sz w:val="21"/>
                <w:szCs w:val="21"/>
                <w:lang w:eastAsia="ko-KR"/>
              </w:rPr>
              <w:t>에 해당하는 경우 인민법원은 소송제기와 동등한 소송시효 중단효력을 가진다고 인정하여야 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 xml:space="preserve">(1) </w:t>
            </w:r>
            <w:r>
              <w:rPr>
                <w:rFonts w:ascii="Gulim" w:eastAsia="Gulim" w:hAnsi="Gulim" w:hint="eastAsia"/>
                <w:sz w:val="21"/>
                <w:szCs w:val="21"/>
                <w:lang w:eastAsia="ko-KR"/>
              </w:rPr>
              <w:t>지불명령 신청</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 xml:space="preserve">(2) </w:t>
            </w:r>
            <w:r>
              <w:rPr>
                <w:rFonts w:ascii="Gulim" w:eastAsia="Gulim" w:hAnsi="Gulim" w:hint="eastAsia"/>
                <w:sz w:val="21"/>
                <w:szCs w:val="21"/>
                <w:lang w:eastAsia="ko-KR"/>
              </w:rPr>
              <w:t>파산신청</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파산채권 신고</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 xml:space="preserve">(3) </w:t>
            </w:r>
            <w:r>
              <w:rPr>
                <w:rFonts w:ascii="Gulim" w:eastAsia="Gulim" w:hAnsi="Gulim" w:hint="eastAsia"/>
                <w:sz w:val="21"/>
                <w:szCs w:val="21"/>
                <w:lang w:eastAsia="ko-KR"/>
              </w:rPr>
              <w:t>권리주장을 위한 의무자의 실종신고나 사망신고</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 xml:space="preserve">(4) </w:t>
            </w:r>
            <w:r>
              <w:rPr>
                <w:rFonts w:ascii="Gulim" w:eastAsia="Gulim" w:hAnsi="Gulim" w:hint="eastAsia"/>
                <w:sz w:val="21"/>
                <w:szCs w:val="21"/>
                <w:lang w:eastAsia="ko-KR"/>
              </w:rPr>
              <w:t>소송 전 재산보전 신청</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 xml:space="preserve">소송 전 임시금지 </w:t>
            </w:r>
            <w:proofErr w:type="spellStart"/>
            <w:r>
              <w:rPr>
                <w:rFonts w:ascii="Gulim" w:eastAsia="Gulim" w:hAnsi="Gulim" w:hint="eastAsia"/>
                <w:sz w:val="21"/>
                <w:szCs w:val="21"/>
                <w:lang w:eastAsia="ko-KR"/>
              </w:rPr>
              <w:t>령</w:t>
            </w:r>
            <w:proofErr w:type="spellEnd"/>
            <w:r>
              <w:rPr>
                <w:rFonts w:ascii="Gulim" w:eastAsia="Gulim" w:hAnsi="Gulim" w:hint="eastAsia"/>
                <w:sz w:val="21"/>
                <w:szCs w:val="21"/>
                <w:lang w:eastAsia="ko-KR"/>
              </w:rPr>
              <w:t xml:space="preserve"> 신청 등 소송 전 조치 신청</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 xml:space="preserve">(5) </w:t>
            </w:r>
            <w:r>
              <w:rPr>
                <w:rFonts w:ascii="Gulim" w:eastAsia="Gulim" w:hAnsi="Gulim" w:hint="eastAsia"/>
                <w:sz w:val="21"/>
                <w:szCs w:val="21"/>
                <w:lang w:eastAsia="ko-KR"/>
              </w:rPr>
              <w:t>강제집행 신청</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 xml:space="preserve">(6) </w:t>
            </w:r>
            <w:r>
              <w:rPr>
                <w:rFonts w:ascii="Gulim" w:eastAsia="Gulim" w:hAnsi="Gulim" w:hint="eastAsia"/>
                <w:sz w:val="21"/>
                <w:szCs w:val="21"/>
                <w:lang w:eastAsia="ko-KR"/>
              </w:rPr>
              <w:t>당사자추가 신청 또는 소송참여통지 신청</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 xml:space="preserve">(7) </w:t>
            </w:r>
            <w:r>
              <w:rPr>
                <w:rFonts w:ascii="Gulim" w:eastAsia="Gulim" w:hAnsi="Gulim" w:hint="eastAsia"/>
                <w:sz w:val="21"/>
                <w:szCs w:val="21"/>
                <w:lang w:eastAsia="ko-KR"/>
              </w:rPr>
              <w:t>소송에서 상계주장</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cs="Haansoft Batang" w:hint="eastAsia"/>
                <w:sz w:val="21"/>
                <w:szCs w:val="21"/>
                <w:lang w:eastAsia="ko-KR"/>
              </w:rPr>
              <w:t xml:space="preserve">(8) </w:t>
            </w:r>
            <w:r>
              <w:rPr>
                <w:rFonts w:ascii="Gulim" w:eastAsia="Gulim" w:hAnsi="Gulim" w:hint="eastAsia"/>
                <w:sz w:val="21"/>
                <w:szCs w:val="21"/>
                <w:lang w:eastAsia="ko-KR"/>
              </w:rPr>
              <w:t>소송과 동등한 소송시효 중단효력을 가지는 기타사항</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12</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권리자가 인민조정위원회 및 법적 민사쟁의 해결권한이 있는 국가기관</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사업단위</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사회단체 등 기타 사회조직에 관련 민사권리보호를 청구하는 경우 소송시효는 청구 제출일로부터 중단한다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13</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권리자가 공안기관</w:t>
            </w:r>
            <w:r>
              <w:rPr>
                <w:rFonts w:ascii="Gulim" w:eastAsia="Gulim" w:hAnsi="Gulim" w:cs="Haansoft Batang" w:hint="eastAsia"/>
                <w:sz w:val="21"/>
                <w:szCs w:val="21"/>
                <w:lang w:eastAsia="ko-KR"/>
              </w:rPr>
              <w:t xml:space="preserve">, </w:t>
            </w:r>
            <w:proofErr w:type="spellStart"/>
            <w:r>
              <w:rPr>
                <w:rFonts w:ascii="Gulim" w:eastAsia="Gulim" w:hAnsi="Gulim" w:hint="eastAsia"/>
                <w:sz w:val="21"/>
                <w:szCs w:val="21"/>
                <w:lang w:eastAsia="ko-KR"/>
              </w:rPr>
              <w:t>인민검찰원</w:t>
            </w:r>
            <w:proofErr w:type="spellEnd"/>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인민</w:t>
            </w:r>
            <w:r>
              <w:rPr>
                <w:rFonts w:ascii="Gulim" w:eastAsia="Gulim" w:hAnsi="Gulim" w:hint="eastAsia"/>
                <w:sz w:val="21"/>
                <w:szCs w:val="21"/>
                <w:lang w:eastAsia="ko-KR"/>
              </w:rPr>
              <w:lastRenderedPageBreak/>
              <w:t>법원에 고소하거나 고발하여 그 민사권리보호를 청구하는 경우 소송시효는 고소</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고발일로부터 중단한다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sz w:val="21"/>
                <w:szCs w:val="21"/>
                <w:lang w:eastAsia="ko-KR"/>
              </w:rPr>
              <w:t>상술한 기관이 입건거부</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사건취소 또는 불기소를 결정하는 경우 소송시효기간은 권리자가 입건거부</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사건취소나 불기소 결정을 알았거나 응당 알아야 하는 날부터 다시 기산한다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14</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의무자가 분할이행</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부분이행</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담보제공</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이행연기 청구</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 xml:space="preserve">채무변제계획 작성 등 약속이나 행위를 하는 경우 </w:t>
            </w:r>
            <w:proofErr w:type="spellStart"/>
            <w:r>
              <w:rPr>
                <w:rFonts w:ascii="Gulim" w:eastAsia="Gulim" w:hAnsi="Gulim" w:hint="eastAsia"/>
                <w:sz w:val="21"/>
                <w:szCs w:val="21"/>
                <w:lang w:eastAsia="ko-KR"/>
              </w:rPr>
              <w:t>민법전</w:t>
            </w:r>
            <w:proofErr w:type="spellEnd"/>
            <w:r>
              <w:rPr>
                <w:rFonts w:ascii="Gulim" w:eastAsia="Gulim" w:hAnsi="Gulim" w:hint="eastAsia"/>
                <w:sz w:val="21"/>
                <w:szCs w:val="21"/>
                <w:lang w:eastAsia="ko-KR"/>
              </w:rPr>
              <w:t xml:space="preserve"> 제</w:t>
            </w:r>
            <w:r>
              <w:rPr>
                <w:rFonts w:ascii="Gulim" w:eastAsia="Gulim" w:hAnsi="Gulim" w:cs="Haansoft Batang" w:hint="eastAsia"/>
                <w:sz w:val="21"/>
                <w:szCs w:val="21"/>
                <w:lang w:eastAsia="ko-KR"/>
              </w:rPr>
              <w:t>195</w:t>
            </w:r>
            <w:r>
              <w:rPr>
                <w:rFonts w:ascii="Gulim" w:eastAsia="Gulim" w:hAnsi="Gulim" w:hint="eastAsia"/>
                <w:sz w:val="21"/>
                <w:szCs w:val="21"/>
                <w:lang w:eastAsia="ko-KR"/>
              </w:rPr>
              <w:t xml:space="preserve">조가 규정한 </w:t>
            </w:r>
            <w:r>
              <w:rPr>
                <w:rFonts w:ascii="Gulim" w:eastAsia="Gulim" w:hAnsi="Gulim" w:cs="Gulim" w:hint="eastAsia"/>
                <w:sz w:val="21"/>
                <w:szCs w:val="21"/>
                <w:lang w:eastAsia="ko-KR"/>
              </w:rPr>
              <w:t>“</w:t>
            </w:r>
            <w:r>
              <w:rPr>
                <w:rFonts w:ascii="Gulim" w:eastAsia="Gulim" w:hAnsi="Gulim" w:hint="eastAsia"/>
                <w:sz w:val="21"/>
                <w:szCs w:val="21"/>
                <w:lang w:eastAsia="ko-KR"/>
              </w:rPr>
              <w:t>의무자가 의무이행에 동의</w:t>
            </w:r>
            <w:r>
              <w:rPr>
                <w:rFonts w:ascii="Gulim" w:eastAsia="Gulim" w:hAnsi="Gulim" w:cs="Gulim" w:hint="eastAsia"/>
                <w:sz w:val="21"/>
                <w:szCs w:val="21"/>
                <w:lang w:eastAsia="ko-KR"/>
              </w:rPr>
              <w:t>”한 것으</w:t>
            </w:r>
            <w:r>
              <w:rPr>
                <w:rFonts w:ascii="Gulim" w:eastAsia="Gulim" w:hAnsi="Gulim" w:hint="eastAsia"/>
                <w:sz w:val="21"/>
                <w:szCs w:val="21"/>
                <w:lang w:eastAsia="ko-KR"/>
              </w:rPr>
              <w:t>로 인정하여야 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15</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 xml:space="preserve">연대채권자 중 </w:t>
            </w:r>
            <w:r>
              <w:rPr>
                <w:rFonts w:ascii="Gulim" w:eastAsia="Gulim" w:hAnsi="Gulim" w:cs="Haansoft Batang" w:hint="eastAsia"/>
                <w:sz w:val="21"/>
                <w:szCs w:val="21"/>
                <w:lang w:eastAsia="ko-KR"/>
              </w:rPr>
              <w:t>1</w:t>
            </w:r>
            <w:r>
              <w:rPr>
                <w:rFonts w:ascii="Gulim" w:eastAsia="Gulim" w:hAnsi="Gulim" w:hint="eastAsia"/>
                <w:sz w:val="21"/>
                <w:szCs w:val="21"/>
                <w:lang w:eastAsia="ko-KR"/>
              </w:rPr>
              <w:t>명에게 소송시효 중단효력이 있는 사유가 발생한 경우 여타 연대채권자에게도 소송시효 중단효력이 발생하였다고 인정하여야 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sz w:val="21"/>
                <w:szCs w:val="21"/>
                <w:lang w:eastAsia="ko-KR"/>
              </w:rPr>
              <w:t xml:space="preserve">연대채무자 중 </w:t>
            </w:r>
            <w:r>
              <w:rPr>
                <w:rFonts w:ascii="Gulim" w:eastAsia="Gulim" w:hAnsi="Gulim" w:cs="Haansoft Batang" w:hint="eastAsia"/>
                <w:sz w:val="21"/>
                <w:szCs w:val="21"/>
                <w:lang w:eastAsia="ko-KR"/>
              </w:rPr>
              <w:t>1</w:t>
            </w:r>
            <w:r>
              <w:rPr>
                <w:rFonts w:ascii="Gulim" w:eastAsia="Gulim" w:hAnsi="Gulim" w:hint="eastAsia"/>
                <w:sz w:val="21"/>
                <w:szCs w:val="21"/>
                <w:lang w:eastAsia="ko-KR"/>
              </w:rPr>
              <w:t>명에게 소송시효 중단효력이 있는 사유가 발생하는 경우 여타 연대채무자에게도 소송시효 중단효력이 발생하였다고 인정하여야 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16</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 xml:space="preserve">채권자가 대위소권을 행하는 경우 채권자의 채권과 채무자의 채권에 모두 소송시효 중단효력이 발생하였다고 </w:t>
            </w:r>
            <w:proofErr w:type="spellStart"/>
            <w:r>
              <w:rPr>
                <w:rFonts w:ascii="Gulim" w:eastAsia="Gulim" w:hAnsi="Gulim" w:hint="eastAsia"/>
                <w:sz w:val="21"/>
                <w:szCs w:val="21"/>
                <w:lang w:eastAsia="ko-KR"/>
              </w:rPr>
              <w:t>이정하여야</w:t>
            </w:r>
            <w:proofErr w:type="spellEnd"/>
            <w:r>
              <w:rPr>
                <w:rFonts w:ascii="Gulim" w:eastAsia="Gulim" w:hAnsi="Gulim" w:hint="eastAsia"/>
                <w:sz w:val="21"/>
                <w:szCs w:val="21"/>
                <w:lang w:eastAsia="ko-KR"/>
              </w:rPr>
              <w:t xml:space="preserve"> 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17</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채권양도 시에는 채권양도통지서가 채무자에게 송달된 날로부터 소송시효 중단효력이 발생한 것으로 인정하여야 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sz w:val="21"/>
                <w:szCs w:val="21"/>
                <w:lang w:eastAsia="ko-KR"/>
              </w:rPr>
              <w:t xml:space="preserve">채무부담상황에서 채무에 대한 </w:t>
            </w:r>
            <w:proofErr w:type="spellStart"/>
            <w:r>
              <w:rPr>
                <w:rFonts w:ascii="Gulim" w:eastAsia="Gulim" w:hAnsi="Gulim" w:hint="eastAsia"/>
                <w:sz w:val="21"/>
                <w:szCs w:val="21"/>
                <w:lang w:eastAsia="ko-KR"/>
              </w:rPr>
              <w:t>원채무자의</w:t>
            </w:r>
            <w:proofErr w:type="spellEnd"/>
            <w:r>
              <w:rPr>
                <w:rFonts w:ascii="Gulim" w:eastAsia="Gulim" w:hAnsi="Gulim" w:hint="eastAsia"/>
                <w:sz w:val="21"/>
                <w:szCs w:val="21"/>
                <w:lang w:eastAsia="ko-KR"/>
              </w:rPr>
              <w:t xml:space="preserve"> 인정이 이루어지는 경우 채무부담 의사표시가 채권자에게 전달된 날로부터 소송시효 중단효력이 발생하였다고 인정하여야 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18</w:t>
            </w:r>
            <w:r>
              <w:rPr>
                <w:rFonts w:ascii="Gulim" w:eastAsia="Gulim" w:hAnsi="Gulim" w:hint="eastAsia"/>
                <w:b/>
                <w:bCs/>
                <w:sz w:val="21"/>
                <w:szCs w:val="21"/>
                <w:lang w:eastAsia="ko-KR"/>
              </w:rPr>
              <w:t xml:space="preserve">조 </w:t>
            </w:r>
            <w:proofErr w:type="spellStart"/>
            <w:r>
              <w:rPr>
                <w:rFonts w:ascii="Gulim" w:eastAsia="Gulim" w:hAnsi="Gulim" w:hint="eastAsia"/>
                <w:sz w:val="21"/>
                <w:szCs w:val="21"/>
                <w:lang w:eastAsia="ko-KR"/>
              </w:rPr>
              <w:t>메인채무</w:t>
            </w:r>
            <w:proofErr w:type="spellEnd"/>
            <w:r>
              <w:rPr>
                <w:rFonts w:ascii="Gulim" w:eastAsia="Gulim" w:hAnsi="Gulim" w:hint="eastAsia"/>
                <w:sz w:val="21"/>
                <w:szCs w:val="21"/>
                <w:lang w:eastAsia="ko-KR"/>
              </w:rPr>
              <w:t xml:space="preserve"> 소송시효기간이 만료되면 보증인이 </w:t>
            </w:r>
            <w:proofErr w:type="spellStart"/>
            <w:r>
              <w:rPr>
                <w:rFonts w:ascii="Gulim" w:eastAsia="Gulim" w:hAnsi="Gulim" w:hint="eastAsia"/>
                <w:sz w:val="21"/>
                <w:szCs w:val="21"/>
                <w:lang w:eastAsia="ko-KR"/>
              </w:rPr>
              <w:t>메인채무자의</w:t>
            </w:r>
            <w:proofErr w:type="spellEnd"/>
            <w:r>
              <w:rPr>
                <w:rFonts w:ascii="Gulim" w:eastAsia="Gulim" w:hAnsi="Gulim" w:hint="eastAsia"/>
                <w:sz w:val="21"/>
                <w:szCs w:val="21"/>
                <w:lang w:eastAsia="ko-KR"/>
              </w:rPr>
              <w:t xml:space="preserve"> 소송시효항변권을 향유</w:t>
            </w:r>
            <w:r>
              <w:rPr>
                <w:rFonts w:ascii="Gulim" w:eastAsia="Gulim" w:hAnsi="Gulim" w:hint="eastAsia"/>
                <w:sz w:val="21"/>
                <w:szCs w:val="21"/>
                <w:lang w:eastAsia="ko-KR"/>
              </w:rPr>
              <w:lastRenderedPageBreak/>
              <w:t>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sz w:val="21"/>
                <w:szCs w:val="21"/>
                <w:lang w:eastAsia="ko-KR"/>
              </w:rPr>
              <w:t xml:space="preserve">보증인이 상술한 소송시효항변권을 주장하지 아니하고 보증 책임을 부담한 후 </w:t>
            </w:r>
            <w:proofErr w:type="spellStart"/>
            <w:r>
              <w:rPr>
                <w:rFonts w:ascii="Gulim" w:eastAsia="Gulim" w:hAnsi="Gulim" w:hint="eastAsia"/>
                <w:sz w:val="21"/>
                <w:szCs w:val="21"/>
                <w:lang w:eastAsia="ko-KR"/>
              </w:rPr>
              <w:t>메인채무자에</w:t>
            </w:r>
            <w:proofErr w:type="spellEnd"/>
            <w:r>
              <w:rPr>
                <w:rFonts w:ascii="Gulim" w:eastAsia="Gulim" w:hAnsi="Gulim" w:hint="eastAsia"/>
                <w:sz w:val="21"/>
                <w:szCs w:val="21"/>
                <w:lang w:eastAsia="ko-KR"/>
              </w:rPr>
              <w:t xml:space="preserve"> 대한 구상 권을 행사하는 경우 인민법원은 지지하지 아니한다</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단</w:t>
            </w:r>
            <w:r>
              <w:rPr>
                <w:rFonts w:ascii="Gulim" w:eastAsia="Gulim" w:hAnsi="Gulim" w:cs="Haansoft Batang" w:hint="eastAsia"/>
                <w:sz w:val="21"/>
                <w:szCs w:val="21"/>
                <w:lang w:eastAsia="ko-KR"/>
              </w:rPr>
              <w:t xml:space="preserve">, </w:t>
            </w:r>
            <w:proofErr w:type="spellStart"/>
            <w:r>
              <w:rPr>
                <w:rFonts w:ascii="Gulim" w:eastAsia="Gulim" w:hAnsi="Gulim" w:hint="eastAsia"/>
                <w:sz w:val="21"/>
                <w:szCs w:val="21"/>
                <w:lang w:eastAsia="ko-KR"/>
              </w:rPr>
              <w:t>메인채무자가</w:t>
            </w:r>
            <w:proofErr w:type="spellEnd"/>
            <w:r>
              <w:rPr>
                <w:rFonts w:ascii="Gulim" w:eastAsia="Gulim" w:hAnsi="Gulim" w:hint="eastAsia"/>
                <w:sz w:val="21"/>
                <w:szCs w:val="21"/>
                <w:lang w:eastAsia="ko-KR"/>
              </w:rPr>
              <w:t xml:space="preserve"> 지급을 동의하는 상황은 예외이다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cs="Haansoft Batang"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19</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 xml:space="preserve">소송시효기간이 만료된 상황에서 당사자 일방이 </w:t>
            </w:r>
            <w:proofErr w:type="spellStart"/>
            <w:r>
              <w:rPr>
                <w:rFonts w:ascii="Gulim" w:eastAsia="Gulim" w:hAnsi="Gulim" w:hint="eastAsia"/>
                <w:sz w:val="21"/>
                <w:szCs w:val="21"/>
                <w:lang w:eastAsia="ko-KR"/>
              </w:rPr>
              <w:t>상대측</w:t>
            </w:r>
            <w:proofErr w:type="spellEnd"/>
            <w:r>
              <w:rPr>
                <w:rFonts w:ascii="Gulim" w:eastAsia="Gulim" w:hAnsi="Gulim" w:hint="eastAsia"/>
                <w:sz w:val="21"/>
                <w:szCs w:val="21"/>
                <w:lang w:eastAsia="ko-KR"/>
              </w:rPr>
              <w:t xml:space="preserve"> 당사자에게 의무이행 동의의사를 표시하거나 자원하여 의무를 이행한 후 다시 소송시효기간 만료를 이유로 항변하는 경우 인민법원은 지지하지 아니한다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sz w:val="21"/>
                <w:szCs w:val="21"/>
                <w:lang w:eastAsia="ko-KR"/>
              </w:rPr>
              <w:t>당사자 쌍방이 기존의 채무와 관련하여 새로운 협의를 달성하고 채권자가 의무자에게 소송시효의 항변권을 포기할 것을 주장하는 경우 인민법원은 지지하여야 한다.</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sz w:val="21"/>
                <w:szCs w:val="21"/>
                <w:lang w:eastAsia="ko-KR"/>
              </w:rPr>
              <w:t xml:space="preserve">소송시효 기간이 지나고 대출자가 </w:t>
            </w:r>
            <w:proofErr w:type="spellStart"/>
            <w:r>
              <w:rPr>
                <w:rFonts w:ascii="Gulim" w:eastAsia="Gulim" w:hAnsi="Gulim" w:hint="eastAsia"/>
                <w:sz w:val="21"/>
                <w:szCs w:val="21"/>
                <w:lang w:eastAsia="ko-KR"/>
              </w:rPr>
              <w:t>차입자에게</w:t>
            </w:r>
            <w:proofErr w:type="spellEnd"/>
            <w:r>
              <w:rPr>
                <w:rFonts w:ascii="Gulim" w:eastAsia="Gulim" w:hAnsi="Gulim" w:hint="eastAsia"/>
                <w:sz w:val="21"/>
                <w:szCs w:val="21"/>
                <w:lang w:eastAsia="ko-KR"/>
              </w:rPr>
              <w:t xml:space="preserve"> 만기 대출금 상환통지서를 발송하여 채무자가 통지서상 서명 혹은 날인을 하여 차입자가 소송시효기간이 이미 만료된 의무의 이행에 동의한 것으로 인정할 수 있는 경우, 차입자가 소송시효 항변권을 포기하였다는 대출자의 주장에 대해 인민법원은 지지하여야 한다.</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20</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 xml:space="preserve">이 규정 시행 후 </w:t>
            </w:r>
            <w:r>
              <w:rPr>
                <w:rFonts w:ascii="Gulim" w:eastAsia="Gulim" w:hAnsi="Gulim" w:cs="Haansoft Batang" w:hint="eastAsia"/>
                <w:sz w:val="21"/>
                <w:szCs w:val="21"/>
                <w:lang w:eastAsia="ko-KR"/>
              </w:rPr>
              <w:t>1</w:t>
            </w:r>
            <w:r>
              <w:rPr>
                <w:rFonts w:ascii="Gulim" w:eastAsia="Gulim" w:hAnsi="Gulim" w:hint="eastAsia"/>
                <w:sz w:val="21"/>
                <w:szCs w:val="21"/>
                <w:lang w:eastAsia="ko-KR"/>
              </w:rPr>
              <w:t xml:space="preserve">심 또는 </w:t>
            </w:r>
            <w:r>
              <w:rPr>
                <w:rFonts w:ascii="Gulim" w:eastAsia="Gulim" w:hAnsi="Gulim" w:cs="Haansoft Batang" w:hint="eastAsia"/>
                <w:sz w:val="21"/>
                <w:szCs w:val="21"/>
                <w:lang w:eastAsia="ko-KR"/>
              </w:rPr>
              <w:t>2</w:t>
            </w:r>
            <w:r>
              <w:rPr>
                <w:rFonts w:ascii="Gulim" w:eastAsia="Gulim" w:hAnsi="Gulim" w:hint="eastAsia"/>
                <w:sz w:val="21"/>
                <w:szCs w:val="21"/>
                <w:lang w:eastAsia="ko-KR"/>
              </w:rPr>
              <w:t>심 단계에 있는 사건에는 이 규정을 적용한다</w:t>
            </w:r>
            <w:r>
              <w:rPr>
                <w:rFonts w:ascii="Gulim" w:eastAsia="Gulim" w:hAnsi="Gulim" w:cs="Haansoft Batang" w:hint="eastAsia"/>
                <w:sz w:val="21"/>
                <w:szCs w:val="21"/>
                <w:lang w:eastAsia="ko-KR"/>
              </w:rPr>
              <w:t xml:space="preserve">. </w:t>
            </w:r>
            <w:r>
              <w:rPr>
                <w:rFonts w:ascii="Gulim" w:eastAsia="Gulim" w:hAnsi="Gulim" w:hint="eastAsia"/>
                <w:sz w:val="21"/>
                <w:szCs w:val="21"/>
                <w:lang w:eastAsia="ko-KR"/>
              </w:rPr>
              <w:t xml:space="preserve">이 규정 시행 전에 </w:t>
            </w:r>
            <w:proofErr w:type="spellStart"/>
            <w:r>
              <w:rPr>
                <w:rFonts w:ascii="Gulim" w:eastAsia="Gulim" w:hAnsi="Gulim" w:hint="eastAsia"/>
                <w:sz w:val="21"/>
                <w:szCs w:val="21"/>
                <w:lang w:eastAsia="ko-KR"/>
              </w:rPr>
              <w:t>심시를</w:t>
            </w:r>
            <w:proofErr w:type="spellEnd"/>
            <w:r>
              <w:rPr>
                <w:rFonts w:ascii="Gulim" w:eastAsia="Gulim" w:hAnsi="Gulim" w:hint="eastAsia"/>
                <w:sz w:val="21"/>
                <w:szCs w:val="21"/>
                <w:lang w:eastAsia="ko-KR"/>
              </w:rPr>
              <w:t xml:space="preserve"> 종결한 사건을 인민법원이 재심하는 경우에는 이 규정을 적용하지 아니한다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ind w:firstLine="200"/>
              <w:rPr>
                <w:rFonts w:ascii="Gulim" w:eastAsia="Gulim" w:hAnsi="Gulim" w:hint="eastAsia"/>
                <w:sz w:val="21"/>
                <w:szCs w:val="21"/>
                <w:lang w:eastAsia="ko-KR"/>
              </w:rPr>
            </w:pPr>
            <w:r>
              <w:rPr>
                <w:rFonts w:ascii="Gulim" w:eastAsia="Gulim" w:hAnsi="Gulim" w:hint="eastAsia"/>
                <w:b/>
                <w:bCs/>
                <w:sz w:val="21"/>
                <w:szCs w:val="21"/>
                <w:lang w:eastAsia="ko-KR"/>
              </w:rPr>
              <w:t>제</w:t>
            </w:r>
            <w:r>
              <w:rPr>
                <w:rFonts w:ascii="Gulim" w:eastAsia="Gulim" w:hAnsi="Gulim" w:cs="Haansoft Batang" w:hint="eastAsia"/>
                <w:b/>
                <w:bCs/>
                <w:sz w:val="21"/>
                <w:szCs w:val="21"/>
                <w:lang w:eastAsia="ko-KR"/>
              </w:rPr>
              <w:t>21</w:t>
            </w:r>
            <w:r>
              <w:rPr>
                <w:rFonts w:ascii="Gulim" w:eastAsia="Gulim" w:hAnsi="Gulim" w:hint="eastAsia"/>
                <w:b/>
                <w:bCs/>
                <w:sz w:val="21"/>
                <w:szCs w:val="21"/>
                <w:lang w:eastAsia="ko-KR"/>
              </w:rPr>
              <w:t xml:space="preserve">조 </w:t>
            </w:r>
            <w:r>
              <w:rPr>
                <w:rFonts w:ascii="Gulim" w:eastAsia="Gulim" w:hAnsi="Gulim" w:hint="eastAsia"/>
                <w:sz w:val="21"/>
                <w:szCs w:val="21"/>
                <w:lang w:eastAsia="ko-KR"/>
              </w:rPr>
              <w:t>이 규정 시행 전에 최고인민법원이 행한 관련 사법해석이 이 규정과 저촉되는 경우 이 규정에 준한다</w:t>
            </w:r>
            <w:r>
              <w:rPr>
                <w:rFonts w:ascii="Gulim" w:eastAsia="Gulim" w:hAnsi="Gulim" w:cs="Haansoft Batang" w:hint="eastAsia"/>
                <w:sz w:val="21"/>
                <w:szCs w:val="21"/>
                <w:lang w:eastAsia="ko-KR"/>
              </w:rPr>
              <w:t>.</w:t>
            </w:r>
          </w:p>
          <w:p w:rsidR="008278C9" w:rsidRDefault="008278C9" w:rsidP="008278C9">
            <w:pPr>
              <w:pStyle w:val="ae"/>
              <w:topLinePunct/>
              <w:autoSpaceDE/>
              <w:spacing w:line="360" w:lineRule="auto"/>
              <w:rPr>
                <w:rFonts w:ascii="Gulim" w:eastAsia="Gulim" w:hAnsi="Gulim" w:hint="eastAsia"/>
                <w:sz w:val="21"/>
                <w:szCs w:val="21"/>
                <w:lang w:eastAsia="ko-KR"/>
              </w:rPr>
            </w:pPr>
          </w:p>
          <w:p w:rsidR="008278C9" w:rsidRDefault="008278C9" w:rsidP="008278C9">
            <w:pPr>
              <w:wordWrap w:val="0"/>
              <w:topLinePunct/>
              <w:snapToGrid w:val="0"/>
              <w:spacing w:line="360" w:lineRule="auto"/>
              <w:rPr>
                <w:rFonts w:ascii="Gulim" w:eastAsia="Gulim" w:hAnsi="Gulim" w:hint="eastAsia"/>
                <w:szCs w:val="21"/>
                <w:lang w:eastAsia="ko-KR"/>
              </w:rPr>
            </w:pPr>
          </w:p>
          <w:p w:rsidR="00DA4DEC" w:rsidRDefault="00DA4DEC" w:rsidP="00DA4DEC">
            <w:pPr>
              <w:wordWrap w:val="0"/>
              <w:topLinePunct/>
              <w:adjustRightInd w:val="0"/>
              <w:snapToGrid w:val="0"/>
              <w:spacing w:line="360" w:lineRule="auto"/>
              <w:ind w:firstLineChars="100" w:firstLine="210"/>
              <w:rPr>
                <w:rFonts w:ascii="Gulim" w:eastAsia="Gulim" w:hAnsi="Gulim"/>
                <w:szCs w:val="21"/>
                <w:lang w:eastAsia="ko-KR"/>
              </w:rPr>
            </w:pPr>
          </w:p>
          <w:p w:rsidR="00C64255" w:rsidRPr="00DA4DEC" w:rsidRDefault="00C64255" w:rsidP="00C64255">
            <w:pPr>
              <w:pStyle w:val="ae"/>
              <w:topLinePunct/>
              <w:autoSpaceDE/>
              <w:autoSpaceDN/>
              <w:spacing w:line="360" w:lineRule="auto"/>
              <w:rPr>
                <w:rFonts w:ascii="Gulim" w:eastAsia="Gulim" w:hAnsi="Gulim"/>
                <w:sz w:val="21"/>
                <w:szCs w:val="21"/>
                <w:lang w:eastAsia="ko-KR"/>
              </w:rPr>
            </w:pPr>
          </w:p>
          <w:p w:rsidR="00C64255" w:rsidRPr="000C4E32" w:rsidRDefault="00C64255" w:rsidP="00C64255">
            <w:pPr>
              <w:wordWrap w:val="0"/>
              <w:topLinePunct/>
              <w:snapToGrid w:val="0"/>
              <w:spacing w:line="360" w:lineRule="auto"/>
              <w:rPr>
                <w:rFonts w:ascii="Gulim" w:hAnsi="Gulim"/>
                <w:szCs w:val="21"/>
                <w:lang w:eastAsia="ko-KR"/>
              </w:rPr>
            </w:pPr>
          </w:p>
          <w:p w:rsidR="00FE1FE8" w:rsidRPr="00C64255"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FE1FE8" w:rsidRPr="00DA0B6D"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DB5008" w:rsidRPr="00FE1FE8" w:rsidRDefault="00DB5008" w:rsidP="00FE1FE8">
            <w:pPr>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8278C9" w:rsidRPr="008278C9" w:rsidRDefault="008278C9" w:rsidP="008278C9">
            <w:pPr>
              <w:wordWrap w:val="0"/>
              <w:topLinePunct/>
              <w:adjustRightInd w:val="0"/>
              <w:snapToGrid w:val="0"/>
              <w:spacing w:line="360" w:lineRule="auto"/>
              <w:jc w:val="center"/>
              <w:rPr>
                <w:rFonts w:ascii="Batang" w:eastAsia="Batang" w:hAnsi="Batang" w:cs="宋体"/>
                <w:b/>
                <w:bCs/>
                <w:snapToGrid w:val="0"/>
                <w:kern w:val="0"/>
                <w:sz w:val="26"/>
                <w:szCs w:val="21"/>
                <w:lang w:eastAsia="ko-KR"/>
              </w:rPr>
            </w:pPr>
            <w:r w:rsidRPr="008278C9">
              <w:rPr>
                <w:rFonts w:ascii="Batang" w:eastAsia="Batang" w:hAnsi="Batang" w:cs="宋体" w:hint="eastAsia"/>
                <w:b/>
                <w:bCs/>
                <w:snapToGrid w:val="0"/>
                <w:kern w:val="0"/>
                <w:sz w:val="26"/>
                <w:szCs w:val="21"/>
                <w:lang w:eastAsia="ko-KR"/>
              </w:rPr>
              <w:t>最高人民法院</w:t>
            </w:r>
          </w:p>
          <w:p w:rsidR="008278C9" w:rsidRPr="008278C9" w:rsidRDefault="008278C9" w:rsidP="008278C9">
            <w:pPr>
              <w:wordWrap w:val="0"/>
              <w:topLinePunct/>
              <w:adjustRightInd w:val="0"/>
              <w:snapToGrid w:val="0"/>
              <w:spacing w:line="360" w:lineRule="auto"/>
              <w:jc w:val="center"/>
              <w:rPr>
                <w:rFonts w:ascii="Batang" w:eastAsia="Batang" w:hAnsi="Batang" w:cs="宋体" w:hint="eastAsia"/>
                <w:b/>
                <w:bCs/>
                <w:snapToGrid w:val="0"/>
                <w:kern w:val="0"/>
                <w:sz w:val="26"/>
                <w:szCs w:val="21"/>
              </w:rPr>
            </w:pPr>
            <w:r w:rsidRPr="008278C9">
              <w:rPr>
                <w:rFonts w:ascii="Batang" w:eastAsia="Batang" w:hAnsi="Batang" w:cs="宋体" w:hint="eastAsia"/>
                <w:b/>
                <w:bCs/>
                <w:snapToGrid w:val="0"/>
                <w:kern w:val="0"/>
                <w:sz w:val="26"/>
                <w:szCs w:val="21"/>
              </w:rPr>
              <w:t>关于审理民事案件适用诉讼时效制度若干问题的规定</w:t>
            </w:r>
          </w:p>
          <w:p w:rsidR="008278C9" w:rsidRDefault="008278C9" w:rsidP="008278C9">
            <w:pPr>
              <w:topLinePunct/>
              <w:snapToGrid w:val="0"/>
              <w:spacing w:line="360" w:lineRule="auto"/>
              <w:rPr>
                <w:rFonts w:ascii="宋体" w:eastAsia="宋体" w:hAnsi="宋体" w:hint="eastAsia"/>
                <w:szCs w:val="21"/>
              </w:rPr>
            </w:pPr>
          </w:p>
          <w:p w:rsidR="008278C9" w:rsidRDefault="008278C9" w:rsidP="008278C9">
            <w:pPr>
              <w:wordWrap w:val="0"/>
              <w:topLinePunct/>
              <w:snapToGrid w:val="0"/>
              <w:spacing w:line="360" w:lineRule="auto"/>
              <w:ind w:firstLine="420"/>
              <w:rPr>
                <w:rFonts w:ascii="宋体" w:eastAsia="宋体" w:hAnsi="宋体" w:hint="eastAsia"/>
                <w:szCs w:val="21"/>
              </w:rPr>
            </w:pPr>
            <w:r>
              <w:rPr>
                <w:rFonts w:ascii="宋体" w:eastAsia="宋体" w:hAnsi="宋体" w:hint="eastAsia"/>
                <w:szCs w:val="21"/>
              </w:rPr>
              <w:t>（2008年8月11日由最高人民法院审判委员会第1450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8278C9" w:rsidRDefault="008278C9" w:rsidP="008278C9">
            <w:pPr>
              <w:wordWrap w:val="0"/>
              <w:topLinePunct/>
              <w:snapToGrid w:val="0"/>
              <w:spacing w:line="360" w:lineRule="auto"/>
              <w:ind w:firstLine="420"/>
              <w:rPr>
                <w:rFonts w:ascii="宋体" w:eastAsia="宋体" w:hAnsi="宋体" w:hint="eastAsia"/>
                <w:szCs w:val="21"/>
              </w:rPr>
            </w:pPr>
            <w:r>
              <w:rPr>
                <w:rFonts w:ascii="宋体" w:eastAsia="宋体" w:hAnsi="宋体" w:hint="eastAsia"/>
                <w:szCs w:val="21"/>
              </w:rPr>
              <w:t>为正确适用法律关于诉讼时效制度的规定，保护当事人的合法权益，依照《中华人民共和国民法典》《中华人民共和国民事诉讼法》等法律的规定，结合审判实践，制定本规定。</w:t>
            </w:r>
          </w:p>
          <w:p w:rsidR="008278C9" w:rsidRDefault="008278C9" w:rsidP="008278C9">
            <w:pPr>
              <w:wordWrap w:val="0"/>
              <w:topLinePunct/>
              <w:snapToGrid w:val="0"/>
              <w:spacing w:line="360" w:lineRule="auto"/>
              <w:ind w:firstLine="420"/>
              <w:rPr>
                <w:rFonts w:ascii="宋体" w:hAnsi="宋体" w:hint="eastAsia"/>
                <w:szCs w:val="21"/>
                <w:lang w:eastAsia="ko-KR"/>
              </w:rPr>
            </w:pPr>
          </w:p>
          <w:p w:rsidR="008278C9" w:rsidRPr="008278C9" w:rsidRDefault="008278C9" w:rsidP="008278C9">
            <w:pPr>
              <w:wordWrap w:val="0"/>
              <w:topLinePunct/>
              <w:snapToGrid w:val="0"/>
              <w:spacing w:line="360" w:lineRule="auto"/>
              <w:ind w:firstLine="420"/>
              <w:rPr>
                <w:rFonts w:ascii="宋体" w:hAnsi="宋体" w:hint="eastAsia"/>
                <w:szCs w:val="21"/>
                <w:lang w:eastAsia="ko-KR"/>
              </w:rPr>
            </w:pPr>
          </w:p>
          <w:p w:rsidR="008278C9" w:rsidRPr="008278C9" w:rsidRDefault="008278C9" w:rsidP="008278C9">
            <w:pPr>
              <w:wordWrap w:val="0"/>
              <w:topLinePunct/>
              <w:snapToGrid w:val="0"/>
              <w:spacing w:line="360" w:lineRule="auto"/>
              <w:rPr>
                <w:rFonts w:ascii="宋体" w:eastAsia="宋体" w:hAnsi="宋体" w:hint="eastAsia"/>
                <w:w w:val="80"/>
                <w:szCs w:val="21"/>
              </w:rPr>
            </w:pPr>
            <w:r>
              <w:rPr>
                <w:rFonts w:ascii="宋体" w:eastAsia="宋体" w:hAnsi="宋体" w:hint="eastAsia"/>
                <w:szCs w:val="21"/>
              </w:rPr>
              <w:t xml:space="preserve">　　</w:t>
            </w:r>
            <w:r>
              <w:rPr>
                <w:rFonts w:ascii="宋体" w:eastAsia="宋体" w:hAnsi="宋体" w:hint="eastAsia"/>
                <w:b/>
                <w:bCs/>
                <w:szCs w:val="21"/>
              </w:rPr>
              <w:t>第一条</w:t>
            </w:r>
            <w:r>
              <w:rPr>
                <w:rFonts w:ascii="宋体" w:eastAsia="宋体" w:hAnsi="宋体" w:hint="eastAsia"/>
                <w:szCs w:val="21"/>
              </w:rPr>
              <w:t xml:space="preserve"> </w:t>
            </w:r>
            <w:r w:rsidRPr="008278C9">
              <w:rPr>
                <w:rFonts w:ascii="宋体" w:eastAsia="宋体" w:hAnsi="宋体" w:hint="eastAsia"/>
                <w:w w:val="80"/>
                <w:szCs w:val="21"/>
              </w:rPr>
              <w:t>当事人可以对债权请求权提出诉讼时效抗辩，但对下列债权请求权提出诉讼时效抗辩的，人民法院不予支持：</w:t>
            </w:r>
          </w:p>
          <w:p w:rsidR="008278C9" w:rsidRPr="008278C9" w:rsidRDefault="008278C9" w:rsidP="008278C9">
            <w:pPr>
              <w:wordWrap w:val="0"/>
              <w:topLinePunct/>
              <w:snapToGrid w:val="0"/>
              <w:spacing w:line="360" w:lineRule="auto"/>
              <w:rPr>
                <w:rFonts w:ascii="宋体" w:eastAsia="宋体" w:hAnsi="宋体" w:hint="eastAsia"/>
                <w:w w:val="80"/>
                <w:szCs w:val="21"/>
              </w:rPr>
            </w:pPr>
            <w:r w:rsidRPr="008278C9">
              <w:rPr>
                <w:rFonts w:ascii="宋体" w:eastAsia="宋体" w:hAnsi="宋体" w:hint="eastAsia"/>
                <w:w w:val="80"/>
                <w:szCs w:val="21"/>
              </w:rPr>
              <w:t xml:space="preserve">　　（一）支付存款本金及利息请求权；</w:t>
            </w:r>
          </w:p>
          <w:p w:rsidR="008278C9" w:rsidRPr="008278C9" w:rsidRDefault="008278C9" w:rsidP="008278C9">
            <w:pPr>
              <w:wordWrap w:val="0"/>
              <w:topLinePunct/>
              <w:snapToGrid w:val="0"/>
              <w:spacing w:line="360" w:lineRule="auto"/>
              <w:rPr>
                <w:rFonts w:ascii="宋体" w:eastAsia="宋体" w:hAnsi="宋体" w:hint="eastAsia"/>
                <w:w w:val="80"/>
                <w:szCs w:val="21"/>
              </w:rPr>
            </w:pPr>
            <w:r w:rsidRPr="008278C9">
              <w:rPr>
                <w:rFonts w:ascii="宋体" w:eastAsia="宋体" w:hAnsi="宋体" w:hint="eastAsia"/>
                <w:w w:val="80"/>
                <w:szCs w:val="21"/>
              </w:rPr>
              <w:t xml:space="preserve">　　（二）兑付国债、金融债券以及向不特定对象发行的企业债券本息请求权；</w:t>
            </w:r>
          </w:p>
          <w:p w:rsidR="008278C9" w:rsidRPr="008278C9" w:rsidRDefault="008278C9" w:rsidP="008278C9">
            <w:pPr>
              <w:wordWrap w:val="0"/>
              <w:topLinePunct/>
              <w:snapToGrid w:val="0"/>
              <w:spacing w:line="360" w:lineRule="auto"/>
              <w:rPr>
                <w:rFonts w:ascii="宋体" w:eastAsia="宋体" w:hAnsi="宋体" w:hint="eastAsia"/>
                <w:w w:val="80"/>
                <w:szCs w:val="21"/>
              </w:rPr>
            </w:pPr>
            <w:r w:rsidRPr="008278C9">
              <w:rPr>
                <w:rFonts w:ascii="宋体" w:eastAsia="宋体" w:hAnsi="宋体" w:hint="eastAsia"/>
                <w:w w:val="80"/>
                <w:szCs w:val="21"/>
              </w:rPr>
              <w:t xml:space="preserve">　　（三）基于投资关系产生的缴付出资请求权；</w:t>
            </w:r>
          </w:p>
          <w:p w:rsidR="008278C9" w:rsidRDefault="008278C9" w:rsidP="008278C9">
            <w:pPr>
              <w:wordWrap w:val="0"/>
              <w:topLinePunct/>
              <w:snapToGrid w:val="0"/>
              <w:spacing w:line="360" w:lineRule="auto"/>
              <w:ind w:firstLine="330"/>
              <w:rPr>
                <w:rFonts w:ascii="宋体" w:hAnsi="宋体" w:hint="eastAsia"/>
                <w:w w:val="80"/>
                <w:szCs w:val="21"/>
              </w:rPr>
            </w:pPr>
            <w:r w:rsidRPr="008278C9">
              <w:rPr>
                <w:rFonts w:ascii="宋体" w:eastAsia="宋体" w:hAnsi="宋体" w:hint="eastAsia"/>
                <w:w w:val="80"/>
                <w:szCs w:val="21"/>
              </w:rPr>
              <w:t>（四）其他依法不适用诉讼时效规定的债权请求权。</w:t>
            </w:r>
          </w:p>
          <w:p w:rsidR="008278C9" w:rsidRPr="008278C9" w:rsidRDefault="008278C9" w:rsidP="008278C9">
            <w:pPr>
              <w:wordWrap w:val="0"/>
              <w:topLinePunct/>
              <w:snapToGrid w:val="0"/>
              <w:spacing w:line="360" w:lineRule="auto"/>
              <w:ind w:firstLine="330"/>
              <w:rPr>
                <w:rFonts w:ascii="宋体" w:hAnsi="宋体" w:hint="eastAsia"/>
                <w:w w:val="80"/>
                <w:szCs w:val="21"/>
              </w:rPr>
            </w:pP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第二条</w:t>
            </w:r>
            <w:r>
              <w:rPr>
                <w:rFonts w:ascii="宋体" w:eastAsia="宋体" w:hAnsi="宋体" w:hint="eastAsia"/>
                <w:szCs w:val="21"/>
              </w:rPr>
              <w:t xml:space="preserve"> 当事人未提出诉讼时效抗辩，人民法院不应对诉讼时效问题进行释明。</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lastRenderedPageBreak/>
              <w:t xml:space="preserve">　　</w:t>
            </w:r>
            <w:r>
              <w:rPr>
                <w:rFonts w:ascii="宋体" w:eastAsia="宋体" w:hAnsi="宋体" w:hint="eastAsia"/>
                <w:b/>
                <w:bCs/>
                <w:szCs w:val="21"/>
              </w:rPr>
              <w:t>第三条</w:t>
            </w:r>
            <w:r>
              <w:rPr>
                <w:rFonts w:ascii="宋体" w:eastAsia="宋体" w:hAnsi="宋体" w:hint="eastAsia"/>
                <w:szCs w:val="21"/>
              </w:rPr>
              <w:t xml:space="preserve"> 当事人在一审期间未提出诉讼时效抗辩，在二审期间提出的，人民法院不予支持，但其基于新的证据能够证明对方当事人的请求权已过诉讼时效期间的情形除外。</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当事人未按照前款规定提出诉讼时效抗辩，以诉讼时效期间届满为由申请再审或者提出再审抗辩的，人民法院不予支持。</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第四条</w:t>
            </w:r>
            <w:r>
              <w:rPr>
                <w:rFonts w:ascii="宋体" w:eastAsia="宋体" w:hAnsi="宋体" w:hint="eastAsia"/>
                <w:szCs w:val="21"/>
              </w:rPr>
              <w:t xml:space="preserve"> 未约定履行期限的合同，依照民法典第五百一十条、第五百一十一条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w:t>
            </w:r>
          </w:p>
          <w:p w:rsidR="008278C9" w:rsidRPr="008278C9" w:rsidRDefault="008278C9" w:rsidP="008278C9">
            <w:pPr>
              <w:wordWrap w:val="0"/>
              <w:topLinePunct/>
              <w:snapToGrid w:val="0"/>
              <w:spacing w:line="360" w:lineRule="auto"/>
              <w:rPr>
                <w:rFonts w:ascii="宋体" w:eastAsia="宋体" w:hAnsi="宋体" w:hint="eastAsia"/>
                <w:w w:val="90"/>
                <w:szCs w:val="21"/>
              </w:rPr>
            </w:pPr>
            <w:r>
              <w:rPr>
                <w:rFonts w:ascii="宋体" w:eastAsia="宋体" w:hAnsi="宋体" w:hint="eastAsia"/>
                <w:szCs w:val="21"/>
              </w:rPr>
              <w:t xml:space="preserve">　　</w:t>
            </w:r>
            <w:r>
              <w:rPr>
                <w:rFonts w:ascii="宋体" w:eastAsia="宋体" w:hAnsi="宋体" w:hint="eastAsia"/>
                <w:b/>
                <w:bCs/>
                <w:szCs w:val="21"/>
              </w:rPr>
              <w:t>第五条</w:t>
            </w:r>
            <w:r>
              <w:rPr>
                <w:rFonts w:ascii="宋体" w:eastAsia="宋体" w:hAnsi="宋体" w:hint="eastAsia"/>
                <w:szCs w:val="21"/>
              </w:rPr>
              <w:t xml:space="preserve"> </w:t>
            </w:r>
            <w:r w:rsidRPr="008278C9">
              <w:rPr>
                <w:rFonts w:ascii="宋体" w:eastAsia="宋体" w:hAnsi="宋体" w:hint="eastAsia"/>
                <w:w w:val="90"/>
                <w:szCs w:val="21"/>
              </w:rPr>
              <w:t>享有撤销权的当事人一方请求撤销合同的，应适用民法典关于除斥期间的规定。对方当事人对撤销合同请求权提出诉讼时效抗辩的，人民法院不予支持。</w:t>
            </w:r>
          </w:p>
          <w:p w:rsidR="008278C9" w:rsidRPr="008278C9" w:rsidRDefault="008278C9" w:rsidP="008278C9">
            <w:pPr>
              <w:wordWrap w:val="0"/>
              <w:topLinePunct/>
              <w:snapToGrid w:val="0"/>
              <w:spacing w:line="360" w:lineRule="auto"/>
              <w:rPr>
                <w:rFonts w:ascii="宋体" w:eastAsia="宋体" w:hAnsi="宋体" w:hint="eastAsia"/>
                <w:w w:val="90"/>
                <w:szCs w:val="21"/>
              </w:rPr>
            </w:pPr>
            <w:r w:rsidRPr="008278C9">
              <w:rPr>
                <w:rFonts w:ascii="宋体" w:eastAsia="宋体" w:hAnsi="宋体" w:hint="eastAsia"/>
                <w:w w:val="90"/>
                <w:szCs w:val="21"/>
              </w:rPr>
              <w:t xml:space="preserve">　　合同被撤销，返还财产、赔偿损失请求权的诉讼时效期间从合同被撤销之日起计算。</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第六条</w:t>
            </w:r>
            <w:r>
              <w:rPr>
                <w:rFonts w:ascii="宋体" w:eastAsia="宋体" w:hAnsi="宋体" w:hint="eastAsia"/>
                <w:szCs w:val="21"/>
              </w:rPr>
              <w:t xml:space="preserve"> 返还不当得利请求权的诉讼时效期间，从当事人一方知道或者应当知道不当得利事实及对方当事人之日起计算。</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第七条</w:t>
            </w:r>
            <w:r>
              <w:rPr>
                <w:rFonts w:ascii="宋体" w:eastAsia="宋体" w:hAnsi="宋体" w:hint="eastAsia"/>
                <w:szCs w:val="21"/>
              </w:rPr>
              <w:t xml:space="preserve"> 管理人因无因管理行为产生的给付必要管理费用、赔偿损失请求权</w:t>
            </w:r>
            <w:r>
              <w:rPr>
                <w:rFonts w:ascii="宋体" w:eastAsia="宋体" w:hAnsi="宋体" w:hint="eastAsia"/>
                <w:szCs w:val="21"/>
              </w:rPr>
              <w:lastRenderedPageBreak/>
              <w:t>的诉讼时效期间，从无因管理行为结束并且管理人知道或者应当知道本人之日起计算。</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本人因不当无因管理行为产生的赔偿损失请求权的诉讼时效期间，从其知道或者应当知道管理人及损害事实之日起计算。</w:t>
            </w:r>
          </w:p>
          <w:p w:rsidR="008278C9" w:rsidRPr="008278C9" w:rsidRDefault="008278C9" w:rsidP="008278C9">
            <w:pPr>
              <w:wordWrap w:val="0"/>
              <w:topLinePunct/>
              <w:snapToGrid w:val="0"/>
              <w:spacing w:line="360" w:lineRule="auto"/>
              <w:rPr>
                <w:rFonts w:ascii="宋体" w:eastAsia="宋体" w:hAnsi="宋体" w:hint="eastAsia"/>
                <w:w w:val="90"/>
                <w:szCs w:val="21"/>
              </w:rPr>
            </w:pPr>
            <w:r>
              <w:rPr>
                <w:rFonts w:ascii="宋体" w:eastAsia="宋体" w:hAnsi="宋体" w:hint="eastAsia"/>
                <w:szCs w:val="21"/>
              </w:rPr>
              <w:t xml:space="preserve">　</w:t>
            </w:r>
            <w:r>
              <w:rPr>
                <w:rFonts w:ascii="宋体" w:eastAsia="宋体" w:hAnsi="宋体" w:hint="eastAsia"/>
                <w:b/>
                <w:bCs/>
                <w:szCs w:val="21"/>
              </w:rPr>
              <w:t xml:space="preserve">　第八条</w:t>
            </w:r>
            <w:r>
              <w:rPr>
                <w:rFonts w:ascii="宋体" w:eastAsia="宋体" w:hAnsi="宋体" w:hint="eastAsia"/>
                <w:szCs w:val="21"/>
              </w:rPr>
              <w:t xml:space="preserve"> </w:t>
            </w:r>
            <w:r w:rsidRPr="008278C9">
              <w:rPr>
                <w:rFonts w:ascii="宋体" w:eastAsia="宋体" w:hAnsi="宋体" w:hint="eastAsia"/>
                <w:w w:val="90"/>
                <w:szCs w:val="21"/>
              </w:rPr>
              <w:t>具有下列情形之一的，应当认定为民法典第一百九十五条规定的“权利人向义务人提出履行请求”，产生诉讼时效中断的效力：</w:t>
            </w:r>
          </w:p>
          <w:p w:rsidR="008278C9" w:rsidRPr="008278C9" w:rsidRDefault="008278C9" w:rsidP="008278C9">
            <w:pPr>
              <w:wordWrap w:val="0"/>
              <w:topLinePunct/>
              <w:snapToGrid w:val="0"/>
              <w:spacing w:line="360" w:lineRule="auto"/>
              <w:rPr>
                <w:rFonts w:ascii="宋体" w:eastAsia="宋体" w:hAnsi="宋体" w:hint="eastAsia"/>
                <w:w w:val="90"/>
                <w:szCs w:val="21"/>
              </w:rPr>
            </w:pPr>
            <w:r w:rsidRPr="008278C9">
              <w:rPr>
                <w:rFonts w:ascii="宋体" w:eastAsia="宋体" w:hAnsi="宋体" w:hint="eastAsia"/>
                <w:w w:val="90"/>
                <w:szCs w:val="21"/>
              </w:rPr>
              <w:t xml:space="preserve">　　（一）当事人一方直接向对方当事人送交主张权利文书，对方当事人在文书上签名、盖章、按指印或者虽未签名、盖章、按指印但能够以其他方式证明该文书到达对方当事人的；</w:t>
            </w:r>
          </w:p>
          <w:p w:rsidR="008278C9" w:rsidRPr="008278C9" w:rsidRDefault="008278C9" w:rsidP="008278C9">
            <w:pPr>
              <w:wordWrap w:val="0"/>
              <w:topLinePunct/>
              <w:snapToGrid w:val="0"/>
              <w:spacing w:line="360" w:lineRule="auto"/>
              <w:rPr>
                <w:rFonts w:ascii="宋体" w:eastAsia="宋体" w:hAnsi="宋体" w:hint="eastAsia"/>
                <w:w w:val="90"/>
                <w:szCs w:val="21"/>
              </w:rPr>
            </w:pPr>
            <w:r w:rsidRPr="008278C9">
              <w:rPr>
                <w:rFonts w:ascii="宋体" w:eastAsia="宋体" w:hAnsi="宋体" w:hint="eastAsia"/>
                <w:w w:val="90"/>
                <w:szCs w:val="21"/>
              </w:rPr>
              <w:t xml:space="preserve">　　（二）当事人一方以发送信件或者数据电文方式主张权利，信件或者数据电文到达或者应当到达对方当事人的；</w:t>
            </w:r>
          </w:p>
          <w:p w:rsidR="008278C9" w:rsidRPr="008278C9" w:rsidRDefault="008278C9" w:rsidP="008278C9">
            <w:pPr>
              <w:wordWrap w:val="0"/>
              <w:topLinePunct/>
              <w:snapToGrid w:val="0"/>
              <w:spacing w:line="360" w:lineRule="auto"/>
              <w:rPr>
                <w:rFonts w:ascii="宋体" w:eastAsia="宋体" w:hAnsi="宋体" w:hint="eastAsia"/>
                <w:w w:val="90"/>
                <w:szCs w:val="21"/>
              </w:rPr>
            </w:pPr>
            <w:r w:rsidRPr="008278C9">
              <w:rPr>
                <w:rFonts w:ascii="宋体" w:eastAsia="宋体" w:hAnsi="宋体" w:hint="eastAsia"/>
                <w:w w:val="90"/>
                <w:szCs w:val="21"/>
              </w:rPr>
              <w:t xml:space="preserve">　　（三）当事人一方为金融机构，依照法律规定或者当事人约定从对方当事人账户中扣收欠款本息的；</w:t>
            </w:r>
          </w:p>
          <w:p w:rsidR="008278C9" w:rsidRPr="008278C9" w:rsidRDefault="008278C9" w:rsidP="008278C9">
            <w:pPr>
              <w:wordWrap w:val="0"/>
              <w:topLinePunct/>
              <w:snapToGrid w:val="0"/>
              <w:spacing w:line="360" w:lineRule="auto"/>
              <w:rPr>
                <w:rFonts w:ascii="宋体" w:eastAsia="宋体" w:hAnsi="宋体" w:hint="eastAsia"/>
                <w:w w:val="90"/>
                <w:szCs w:val="21"/>
              </w:rPr>
            </w:pPr>
            <w:r w:rsidRPr="008278C9">
              <w:rPr>
                <w:rFonts w:ascii="宋体" w:eastAsia="宋体" w:hAnsi="宋体" w:hint="eastAsia"/>
                <w:w w:val="90"/>
                <w:szCs w:val="21"/>
              </w:rPr>
              <w:t xml:space="preserve">　　（四）当事人一方下落不明，对方当事人在国家级或者下落不明的当事人一方住所地的省级有影响的媒体上刊登具有主张权利内容的公告的，但法律和司法解释另有特别规定的，适用其规定。</w:t>
            </w:r>
          </w:p>
          <w:p w:rsidR="008278C9" w:rsidRDefault="008278C9" w:rsidP="008278C9">
            <w:pPr>
              <w:wordWrap w:val="0"/>
              <w:topLinePunct/>
              <w:snapToGrid w:val="0"/>
              <w:spacing w:line="360" w:lineRule="auto"/>
              <w:ind w:firstLine="390"/>
              <w:rPr>
                <w:rFonts w:ascii="宋体" w:hAnsi="宋体" w:hint="eastAsia"/>
                <w:szCs w:val="21"/>
              </w:rPr>
            </w:pPr>
            <w:r w:rsidRPr="008278C9">
              <w:rPr>
                <w:rFonts w:ascii="宋体" w:eastAsia="宋体" w:hAnsi="宋体" w:hint="eastAsia"/>
                <w:w w:val="90"/>
                <w:szCs w:val="21"/>
              </w:rPr>
              <w:t>前款第（一）项情形中，对方当事人为法人或者其他组织的，签收人可以是其法定代表人、主要负责人、负责收发信件的部门或者被授权主体；对方当事人为自然人的，签收人可以是自然人本人、同住的具有完全</w:t>
            </w:r>
            <w:r w:rsidRPr="008278C9">
              <w:rPr>
                <w:rFonts w:ascii="宋体" w:eastAsia="宋体" w:hAnsi="宋体" w:hint="eastAsia"/>
                <w:w w:val="90"/>
                <w:szCs w:val="21"/>
              </w:rPr>
              <w:lastRenderedPageBreak/>
              <w:t>行为能力的亲属或者被授权主体</w:t>
            </w:r>
            <w:r>
              <w:rPr>
                <w:rFonts w:ascii="宋体" w:eastAsia="宋体" w:hAnsi="宋体" w:hint="eastAsia"/>
                <w:szCs w:val="21"/>
              </w:rPr>
              <w:t>。</w:t>
            </w:r>
          </w:p>
          <w:p w:rsidR="008278C9" w:rsidRPr="008278C9" w:rsidRDefault="008278C9" w:rsidP="008278C9">
            <w:pPr>
              <w:wordWrap w:val="0"/>
              <w:topLinePunct/>
              <w:snapToGrid w:val="0"/>
              <w:spacing w:line="360" w:lineRule="auto"/>
              <w:ind w:firstLine="390"/>
              <w:rPr>
                <w:rFonts w:ascii="宋体" w:hAnsi="宋体" w:hint="eastAsia"/>
                <w:szCs w:val="21"/>
              </w:rPr>
            </w:pPr>
          </w:p>
          <w:p w:rsidR="008278C9" w:rsidRDefault="008278C9" w:rsidP="008278C9">
            <w:pPr>
              <w:wordWrap w:val="0"/>
              <w:topLinePunct/>
              <w:snapToGrid w:val="0"/>
              <w:spacing w:line="360" w:lineRule="auto"/>
              <w:ind w:firstLine="435"/>
              <w:rPr>
                <w:rFonts w:ascii="宋体" w:hAnsi="宋体" w:hint="eastAsia"/>
                <w:szCs w:val="21"/>
              </w:rPr>
            </w:pPr>
            <w:r>
              <w:rPr>
                <w:rFonts w:ascii="宋体" w:eastAsia="宋体" w:hAnsi="宋体" w:hint="eastAsia"/>
                <w:b/>
                <w:bCs/>
                <w:szCs w:val="21"/>
              </w:rPr>
              <w:t>第九条</w:t>
            </w:r>
            <w:r>
              <w:rPr>
                <w:rFonts w:ascii="宋体" w:eastAsia="宋体" w:hAnsi="宋体" w:hint="eastAsia"/>
                <w:szCs w:val="21"/>
              </w:rPr>
              <w:t xml:space="preserve"> 权利人对同一债权中的部分债权主张权利，诉讼时效中断的效力及于剩余债权，但权利人明确表示放弃剩余债权的情形除外。</w:t>
            </w:r>
          </w:p>
          <w:p w:rsidR="008278C9" w:rsidRPr="008278C9" w:rsidRDefault="008278C9" w:rsidP="008278C9">
            <w:pPr>
              <w:wordWrap w:val="0"/>
              <w:topLinePunct/>
              <w:snapToGrid w:val="0"/>
              <w:spacing w:line="360" w:lineRule="auto"/>
              <w:ind w:firstLine="435"/>
              <w:rPr>
                <w:rFonts w:ascii="宋体" w:hAnsi="宋体" w:hint="eastAsia"/>
                <w:szCs w:val="21"/>
              </w:rPr>
            </w:pPr>
          </w:p>
          <w:p w:rsidR="008278C9" w:rsidRDefault="008278C9" w:rsidP="008278C9">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第十条</w:t>
            </w:r>
            <w:r>
              <w:rPr>
                <w:rFonts w:ascii="宋体" w:eastAsia="宋体" w:hAnsi="宋体" w:hint="eastAsia"/>
                <w:szCs w:val="21"/>
              </w:rPr>
              <w:t xml:space="preserve"> 当事人一方向人民法院提交起诉状或者口头起诉的，诉讼时效从提交起诉状或者口头起诉之日起中断。</w:t>
            </w:r>
          </w:p>
          <w:p w:rsidR="008278C9" w:rsidRPr="008278C9" w:rsidRDefault="008278C9" w:rsidP="008278C9">
            <w:pPr>
              <w:wordWrap w:val="0"/>
              <w:topLinePunct/>
              <w:snapToGrid w:val="0"/>
              <w:spacing w:line="360" w:lineRule="auto"/>
              <w:ind w:firstLine="420"/>
              <w:rPr>
                <w:rFonts w:ascii="宋体" w:hAnsi="宋体" w:hint="eastAsia"/>
                <w:szCs w:val="21"/>
              </w:rPr>
            </w:pP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第十一条</w:t>
            </w:r>
            <w:r>
              <w:rPr>
                <w:rFonts w:ascii="宋体" w:eastAsia="宋体" w:hAnsi="宋体" w:hint="eastAsia"/>
                <w:szCs w:val="21"/>
              </w:rPr>
              <w:t xml:space="preserve"> 下列事项之一，人民法院应当认定与提起诉讼具有同等诉讼时效中断的效力：</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（一）申请支付令；</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（二）申请破产、申报破产债权；</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（三）为主张权利而申请宣告义务人失踪或死亡；</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（四）申请诉前财产保全、诉前临时禁令等诉前措施；</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（五）申请强制执行；</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（六）申请追加当事人或者被通知参加诉讼；</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（七）在诉讼中主张抵销；</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（八）其他与提起诉讼具有同等诉讼时效中断效力的事项。</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　第十二条</w:t>
            </w:r>
            <w:r>
              <w:rPr>
                <w:rFonts w:ascii="宋体" w:eastAsia="宋体" w:hAnsi="宋体" w:hint="eastAsia"/>
                <w:szCs w:val="21"/>
              </w:rPr>
              <w:t xml:space="preserve"> 权利人向人民调解委员会以及其他依法有权解决相关民事纠纷的国家机关、事业单位、社会团体等社会组织提出保护相应民事权利的请求，诉讼时效从提出请求之日起中断。</w:t>
            </w:r>
          </w:p>
          <w:p w:rsidR="008278C9" w:rsidRPr="008278C9" w:rsidRDefault="008278C9" w:rsidP="008278C9">
            <w:pPr>
              <w:wordWrap w:val="0"/>
              <w:topLinePunct/>
              <w:snapToGrid w:val="0"/>
              <w:spacing w:line="360" w:lineRule="auto"/>
              <w:rPr>
                <w:rFonts w:ascii="宋体" w:eastAsia="宋体" w:hAnsi="宋体" w:hint="eastAsia"/>
                <w:w w:val="80"/>
                <w:szCs w:val="21"/>
              </w:rPr>
            </w:pPr>
            <w:r>
              <w:rPr>
                <w:rFonts w:ascii="宋体" w:eastAsia="宋体" w:hAnsi="宋体" w:hint="eastAsia"/>
                <w:szCs w:val="21"/>
              </w:rPr>
              <w:t xml:space="preserve">　　</w:t>
            </w:r>
            <w:r>
              <w:rPr>
                <w:rFonts w:ascii="宋体" w:eastAsia="宋体" w:hAnsi="宋体" w:hint="eastAsia"/>
                <w:b/>
                <w:bCs/>
                <w:szCs w:val="21"/>
              </w:rPr>
              <w:t>第十三条</w:t>
            </w:r>
            <w:r>
              <w:rPr>
                <w:rFonts w:ascii="宋体" w:eastAsia="宋体" w:hAnsi="宋体" w:hint="eastAsia"/>
                <w:szCs w:val="21"/>
              </w:rPr>
              <w:t xml:space="preserve"> </w:t>
            </w:r>
            <w:r w:rsidRPr="008278C9">
              <w:rPr>
                <w:rFonts w:ascii="宋体" w:eastAsia="宋体" w:hAnsi="宋体" w:hint="eastAsia"/>
                <w:w w:val="80"/>
                <w:szCs w:val="21"/>
              </w:rPr>
              <w:t>权利人向公安机关、人民检察</w:t>
            </w:r>
            <w:r w:rsidRPr="008278C9">
              <w:rPr>
                <w:rFonts w:ascii="宋体" w:eastAsia="宋体" w:hAnsi="宋体" w:hint="eastAsia"/>
                <w:w w:val="80"/>
                <w:szCs w:val="21"/>
              </w:rPr>
              <w:lastRenderedPageBreak/>
              <w:t>院、人民法院报案或者控告，请求保护其民事权利的，诉讼时效从其报案或者控告之日起中断。</w:t>
            </w:r>
          </w:p>
          <w:p w:rsidR="008278C9" w:rsidRPr="008278C9" w:rsidRDefault="008278C9" w:rsidP="008278C9">
            <w:pPr>
              <w:wordWrap w:val="0"/>
              <w:topLinePunct/>
              <w:snapToGrid w:val="0"/>
              <w:spacing w:line="360" w:lineRule="auto"/>
              <w:rPr>
                <w:rFonts w:ascii="宋体" w:eastAsia="宋体" w:hAnsi="宋体" w:hint="eastAsia"/>
                <w:w w:val="80"/>
                <w:szCs w:val="21"/>
              </w:rPr>
            </w:pPr>
            <w:r w:rsidRPr="008278C9">
              <w:rPr>
                <w:rFonts w:ascii="宋体" w:eastAsia="宋体" w:hAnsi="宋体" w:hint="eastAsia"/>
                <w:w w:val="80"/>
                <w:szCs w:val="21"/>
              </w:rPr>
              <w:t xml:space="preserve">　　上述机关决定不立案、撤销案件、不起诉的，诉讼时效期间从权利人知道或者应当知道不立案、撤销案件或者不起诉之日起重新计算；刑事案件进入审理阶段，诉讼时效期间从刑事裁判文书生效之日起重新计算。</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第十四条</w:t>
            </w:r>
            <w:r>
              <w:rPr>
                <w:rFonts w:ascii="宋体" w:eastAsia="宋体" w:hAnsi="宋体" w:hint="eastAsia"/>
                <w:szCs w:val="21"/>
              </w:rPr>
              <w:t xml:space="preserve"> 义务人作出分期履行、部分履行、提供担保、请求延期履行、制定清偿债务计划等承诺或者行为的，应当认定为民法典第一百九十五条规定的“义务人同意履行义务”。</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第十五条</w:t>
            </w:r>
            <w:r>
              <w:rPr>
                <w:rFonts w:ascii="宋体" w:eastAsia="宋体" w:hAnsi="宋体" w:hint="eastAsia"/>
                <w:szCs w:val="21"/>
              </w:rPr>
              <w:t xml:space="preserve"> 对于连带债权人中的一人发生诉讼时效中断效力的事由，应当认定对其他连带债权人也发生诉讼时效中断的效力。</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对于连带债务人中的一人发生诉讼时效中断效力的事由，应当认定对其他连带债务人也发生诉讼时效中断的效力。</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第十六条</w:t>
            </w:r>
            <w:r>
              <w:rPr>
                <w:rFonts w:ascii="宋体" w:eastAsia="宋体" w:hAnsi="宋体" w:hint="eastAsia"/>
                <w:szCs w:val="21"/>
              </w:rPr>
              <w:t xml:space="preserve"> 债权人提起代位权诉讼的，应当认定对债权人的债权和债务人的债权均发生诉讼时效中断的效力。</w:t>
            </w: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第十七条</w:t>
            </w:r>
            <w:r>
              <w:rPr>
                <w:rFonts w:ascii="宋体" w:eastAsia="宋体" w:hAnsi="宋体" w:hint="eastAsia"/>
                <w:szCs w:val="21"/>
              </w:rPr>
              <w:t xml:space="preserve"> 债权转让的，应当认定诉讼时效从债权转让通知到达债务人之日起中断。</w:t>
            </w:r>
          </w:p>
          <w:p w:rsidR="008278C9" w:rsidRDefault="008278C9" w:rsidP="008278C9">
            <w:pPr>
              <w:wordWrap w:val="0"/>
              <w:topLinePunct/>
              <w:snapToGrid w:val="0"/>
              <w:spacing w:line="360" w:lineRule="auto"/>
              <w:ind w:firstLine="450"/>
              <w:rPr>
                <w:rFonts w:ascii="宋体" w:hAnsi="宋体" w:hint="eastAsia"/>
                <w:szCs w:val="21"/>
              </w:rPr>
            </w:pPr>
            <w:r>
              <w:rPr>
                <w:rFonts w:ascii="宋体" w:eastAsia="宋体" w:hAnsi="宋体" w:hint="eastAsia"/>
                <w:szCs w:val="21"/>
              </w:rPr>
              <w:t>债务承担情形下，构成原债务人对债务承认的，应当认定诉讼时效从债务承担意思表示到达债权人之日起中断。</w:t>
            </w:r>
          </w:p>
          <w:p w:rsidR="008278C9" w:rsidRPr="008278C9" w:rsidRDefault="008278C9" w:rsidP="008278C9">
            <w:pPr>
              <w:wordWrap w:val="0"/>
              <w:topLinePunct/>
              <w:snapToGrid w:val="0"/>
              <w:spacing w:line="360" w:lineRule="auto"/>
              <w:ind w:firstLine="450"/>
              <w:rPr>
                <w:rFonts w:ascii="宋体" w:hAnsi="宋体" w:hint="eastAsia"/>
                <w:szCs w:val="21"/>
              </w:rPr>
            </w:pP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第十八条</w:t>
            </w:r>
            <w:r>
              <w:rPr>
                <w:rFonts w:ascii="宋体" w:eastAsia="宋体" w:hAnsi="宋体" w:hint="eastAsia"/>
                <w:szCs w:val="21"/>
              </w:rPr>
              <w:t xml:space="preserve"> 主债务诉讼时效期间届满，保证人享有主债务人的诉讼时效抗</w:t>
            </w:r>
            <w:r>
              <w:rPr>
                <w:rFonts w:ascii="宋体" w:eastAsia="宋体" w:hAnsi="宋体" w:hint="eastAsia"/>
                <w:szCs w:val="21"/>
              </w:rPr>
              <w:lastRenderedPageBreak/>
              <w:t>辩权。</w:t>
            </w:r>
          </w:p>
          <w:p w:rsidR="008278C9" w:rsidRDefault="008278C9" w:rsidP="008278C9">
            <w:pPr>
              <w:wordWrap w:val="0"/>
              <w:topLinePunct/>
              <w:snapToGrid w:val="0"/>
              <w:spacing w:line="360" w:lineRule="auto"/>
              <w:ind w:firstLine="480"/>
              <w:rPr>
                <w:rFonts w:ascii="宋体" w:hAnsi="宋体" w:hint="eastAsia"/>
                <w:szCs w:val="21"/>
              </w:rPr>
            </w:pPr>
            <w:r>
              <w:rPr>
                <w:rFonts w:ascii="宋体" w:eastAsia="宋体" w:hAnsi="宋体" w:hint="eastAsia"/>
                <w:szCs w:val="21"/>
              </w:rPr>
              <w:t>保证人未主张前述诉讼时效抗辩权，承担保证责任后向主债务人行使追偿权的，人民法院不予支持，但主债务人同意给付的情形除外。</w:t>
            </w:r>
          </w:p>
          <w:p w:rsidR="008278C9" w:rsidRPr="008278C9" w:rsidRDefault="008278C9" w:rsidP="008278C9">
            <w:pPr>
              <w:wordWrap w:val="0"/>
              <w:topLinePunct/>
              <w:snapToGrid w:val="0"/>
              <w:spacing w:line="360" w:lineRule="auto"/>
              <w:ind w:firstLine="480"/>
              <w:rPr>
                <w:rFonts w:ascii="宋体" w:hAnsi="宋体" w:hint="eastAsia"/>
                <w:szCs w:val="21"/>
              </w:rPr>
            </w:pP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第十九条</w:t>
            </w:r>
            <w:r>
              <w:rPr>
                <w:rFonts w:ascii="宋体" w:eastAsia="宋体" w:hAnsi="宋体" w:hint="eastAsia"/>
                <w:szCs w:val="21"/>
              </w:rPr>
              <w:t xml:space="preserve"> 诉讼时效期间届满，当事人一方向对方当事人作出同意履行义务的意思表示或者自愿履行义务后，又以诉讼时效期间届满为由进行抗辩的，人民法院不予支持。</w:t>
            </w:r>
          </w:p>
          <w:p w:rsidR="008278C9" w:rsidRDefault="008278C9" w:rsidP="008278C9">
            <w:pPr>
              <w:wordWrap w:val="0"/>
              <w:topLinePunct/>
              <w:snapToGrid w:val="0"/>
              <w:spacing w:line="360" w:lineRule="auto"/>
              <w:rPr>
                <w:rFonts w:ascii="宋体" w:eastAsia="宋体" w:hAnsi="宋体" w:hint="eastAsia"/>
                <w:b/>
                <w:bCs/>
                <w:szCs w:val="21"/>
              </w:rPr>
            </w:pPr>
            <w:r>
              <w:rPr>
                <w:rFonts w:ascii="宋体" w:eastAsia="宋体" w:hAnsi="宋体" w:hint="eastAsia"/>
                <w:szCs w:val="21"/>
              </w:rPr>
              <w:t xml:space="preserve">　　当事人双方就原债务达成新的协议，债权人主张义务人放弃诉讼时效抗辩权的，人民法院应予支持。</w:t>
            </w:r>
          </w:p>
          <w:p w:rsidR="008278C9" w:rsidRDefault="008278C9" w:rsidP="008278C9">
            <w:pPr>
              <w:wordWrap w:val="0"/>
              <w:topLinePunct/>
              <w:snapToGrid w:val="0"/>
              <w:spacing w:line="360" w:lineRule="auto"/>
              <w:ind w:firstLine="450"/>
              <w:rPr>
                <w:rFonts w:ascii="宋体" w:hAnsi="宋体" w:hint="eastAsia"/>
                <w:szCs w:val="21"/>
              </w:rPr>
            </w:pPr>
            <w:r>
              <w:rPr>
                <w:rFonts w:ascii="宋体" w:eastAsia="宋体" w:hAnsi="宋体" w:hint="eastAsia"/>
                <w:szCs w:val="21"/>
              </w:rPr>
              <w:t>超过诉讼时效期间，贷款人向借款人发出催收到期贷款通知单，债务人在通知单上签字或者盖章，能够认定借款人同意履行诉讼时效期间已经届满的义务的，对于贷款人关于借款人放弃诉讼时效抗辩权的主张，人民法院应予支持。</w:t>
            </w:r>
          </w:p>
          <w:p w:rsidR="008278C9" w:rsidRPr="008278C9" w:rsidRDefault="008278C9" w:rsidP="008278C9">
            <w:pPr>
              <w:wordWrap w:val="0"/>
              <w:topLinePunct/>
              <w:snapToGrid w:val="0"/>
              <w:spacing w:line="360" w:lineRule="auto"/>
              <w:ind w:firstLine="450"/>
              <w:rPr>
                <w:rFonts w:ascii="宋体" w:hAnsi="宋体" w:hint="eastAsia"/>
                <w:szCs w:val="21"/>
              </w:rPr>
            </w:pPr>
          </w:p>
          <w:p w:rsidR="008278C9" w:rsidRDefault="008278C9" w:rsidP="008278C9">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第二十条本</w:t>
            </w:r>
            <w:r>
              <w:rPr>
                <w:rFonts w:ascii="宋体" w:eastAsia="宋体" w:hAnsi="宋体" w:hint="eastAsia"/>
                <w:szCs w:val="21"/>
              </w:rPr>
              <w:t xml:space="preserve"> 规定施行后，案件尚在一审或者二审阶段的，适用本规定；本规定施行前已经终审的案件，人民法院进行再审时，不适用本规定。</w:t>
            </w:r>
          </w:p>
          <w:p w:rsidR="008278C9" w:rsidRPr="008278C9" w:rsidRDefault="008278C9" w:rsidP="008278C9">
            <w:pPr>
              <w:wordWrap w:val="0"/>
              <w:topLinePunct/>
              <w:snapToGrid w:val="0"/>
              <w:spacing w:line="360" w:lineRule="auto"/>
              <w:ind w:firstLine="420"/>
              <w:rPr>
                <w:rFonts w:ascii="宋体" w:hAnsi="宋体" w:hint="eastAsia"/>
                <w:szCs w:val="21"/>
              </w:rPr>
            </w:pPr>
          </w:p>
          <w:p w:rsidR="008278C9" w:rsidRDefault="008278C9" w:rsidP="008278C9">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第二十一条</w:t>
            </w:r>
            <w:r>
              <w:rPr>
                <w:rFonts w:ascii="宋体" w:eastAsia="宋体" w:hAnsi="宋体" w:hint="eastAsia"/>
                <w:szCs w:val="21"/>
              </w:rPr>
              <w:t xml:space="preserve"> 本规定施行前本院作出的有关司法解释与本规定相抵触的，以本规定为准。</w:t>
            </w:r>
          </w:p>
          <w:p w:rsidR="00C64255" w:rsidRPr="008278C9" w:rsidRDefault="00C64255" w:rsidP="00C64255">
            <w:pPr>
              <w:wordWrap w:val="0"/>
              <w:topLinePunct/>
              <w:snapToGrid w:val="0"/>
              <w:spacing w:line="360" w:lineRule="auto"/>
              <w:rPr>
                <w:rFonts w:ascii="宋体" w:eastAsia="宋体" w:hAnsi="宋体"/>
                <w:color w:val="000000" w:themeColor="text1"/>
                <w:szCs w:val="21"/>
              </w:rPr>
            </w:pPr>
          </w:p>
          <w:p w:rsidR="00FE1FE8" w:rsidRPr="00C64255" w:rsidRDefault="00FE1FE8" w:rsidP="00FE1FE8"/>
          <w:p w:rsidR="00575758" w:rsidRPr="00FE1FE8" w:rsidRDefault="00575758" w:rsidP="00575758">
            <w:pPr>
              <w:wordWrap w:val="0"/>
              <w:snapToGrid w:val="0"/>
              <w:spacing w:line="360" w:lineRule="auto"/>
              <w:rPr>
                <w:rFonts w:ascii="宋体" w:eastAsia="宋体" w:hAnsi="宋体"/>
                <w:szCs w:val="21"/>
              </w:rPr>
            </w:pPr>
            <w:bookmarkStart w:id="0" w:name="_GoBack"/>
            <w:bookmarkEnd w:id="0"/>
          </w:p>
          <w:p w:rsidR="000A3042" w:rsidRPr="00575758" w:rsidRDefault="000A3042" w:rsidP="000A3042">
            <w:pPr>
              <w:wordWrap w:val="0"/>
              <w:topLinePunct/>
              <w:snapToGrid w:val="0"/>
              <w:spacing w:line="360" w:lineRule="auto"/>
              <w:rPr>
                <w:rFonts w:ascii="宋体" w:eastAsia="宋体" w:hAnsi="宋体"/>
                <w:szCs w:val="21"/>
              </w:rPr>
            </w:pPr>
          </w:p>
          <w:p w:rsidR="00DB5008" w:rsidRPr="000A3042" w:rsidRDefault="00DB5008" w:rsidP="00375921">
            <w:pPr>
              <w:snapToGrid w:val="0"/>
              <w:spacing w:line="30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D82" w:rsidRDefault="00573D82" w:rsidP="00C278F4">
      <w:r>
        <w:separator/>
      </w:r>
    </w:p>
  </w:endnote>
  <w:endnote w:type="continuationSeparator" w:id="0">
    <w:p w:rsidR="00573D82" w:rsidRDefault="00573D8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aansoft Batang">
    <w:panose1 w:val="02030600000101010101"/>
    <w:charset w:val="81"/>
    <w:family w:val="roman"/>
    <w:pitch w:val="variable"/>
    <w:sig w:usb0="F7FFAFFF" w:usb1="FBDFFFFF" w:usb2="00FFFFFF" w:usb3="00000000" w:csb0="803F01F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D82" w:rsidRDefault="00573D82" w:rsidP="00C278F4">
      <w:r>
        <w:separator/>
      </w:r>
    </w:p>
  </w:footnote>
  <w:footnote w:type="continuationSeparator" w:id="0">
    <w:p w:rsidR="00573D82" w:rsidRDefault="00573D8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D0B"/>
    <w:multiLevelType w:val="hybridMultilevel"/>
    <w:tmpl w:val="79BC873A"/>
    <w:lvl w:ilvl="0" w:tplc="CEE6D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65723B"/>
    <w:multiLevelType w:val="hybridMultilevel"/>
    <w:tmpl w:val="BE4CFFA6"/>
    <w:lvl w:ilvl="0" w:tplc="23D61B5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EA3C76"/>
    <w:multiLevelType w:val="hybridMultilevel"/>
    <w:tmpl w:val="99E8F97C"/>
    <w:lvl w:ilvl="0" w:tplc="28F83F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nsid w:val="1C81392C"/>
    <w:multiLevelType w:val="hybridMultilevel"/>
    <w:tmpl w:val="28B4027E"/>
    <w:lvl w:ilvl="0" w:tplc="5D66A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2">
    <w:nsid w:val="3C096ADC"/>
    <w:multiLevelType w:val="hybridMultilevel"/>
    <w:tmpl w:val="041E6B50"/>
    <w:lvl w:ilvl="0" w:tplc="61B85868">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nsid w:val="40EF5DC8"/>
    <w:multiLevelType w:val="hybridMultilevel"/>
    <w:tmpl w:val="2B769A4A"/>
    <w:lvl w:ilvl="0" w:tplc="8F3A14CC">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CF7610"/>
    <w:multiLevelType w:val="hybridMultilevel"/>
    <w:tmpl w:val="D99A8B9A"/>
    <w:lvl w:ilvl="0" w:tplc="939893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C5221B5"/>
    <w:multiLevelType w:val="hybridMultilevel"/>
    <w:tmpl w:val="93C4415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78936A7"/>
    <w:multiLevelType w:val="hybridMultilevel"/>
    <w:tmpl w:val="35705526"/>
    <w:lvl w:ilvl="0" w:tplc="F1EA3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2B56CA"/>
    <w:multiLevelType w:val="hybridMultilevel"/>
    <w:tmpl w:val="99E8F97C"/>
    <w:lvl w:ilvl="0" w:tplc="28F83F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14"/>
  </w:num>
  <w:num w:numId="2">
    <w:abstractNumId w:val="8"/>
  </w:num>
  <w:num w:numId="3">
    <w:abstractNumId w:val="2"/>
  </w:num>
  <w:num w:numId="4">
    <w:abstractNumId w:val="20"/>
  </w:num>
  <w:num w:numId="5">
    <w:abstractNumId w:val="4"/>
  </w:num>
  <w:num w:numId="6">
    <w:abstractNumId w:val="9"/>
  </w:num>
  <w:num w:numId="7">
    <w:abstractNumId w:val="24"/>
  </w:num>
  <w:num w:numId="8">
    <w:abstractNumId w:val="3"/>
  </w:num>
  <w:num w:numId="9">
    <w:abstractNumId w:val="22"/>
  </w:num>
  <w:num w:numId="10">
    <w:abstractNumId w:val="10"/>
  </w:num>
  <w:num w:numId="11">
    <w:abstractNumId w:val="19"/>
  </w:num>
  <w:num w:numId="12">
    <w:abstractNumId w:val="13"/>
  </w:num>
  <w:num w:numId="13">
    <w:abstractNumId w:val="25"/>
  </w:num>
  <w:num w:numId="14">
    <w:abstractNumId w:val="21"/>
  </w:num>
  <w:num w:numId="15">
    <w:abstractNumId w:val="11"/>
  </w:num>
  <w:num w:numId="16">
    <w:abstractNumId w:val="1"/>
  </w:num>
  <w:num w:numId="17">
    <w:abstractNumId w:val="17"/>
  </w:num>
  <w:num w:numId="18">
    <w:abstractNumId w:val="5"/>
  </w:num>
  <w:num w:numId="19">
    <w:abstractNumId w:val="7"/>
  </w:num>
  <w:num w:numId="20">
    <w:abstractNumId w:val="0"/>
  </w:num>
  <w:num w:numId="21">
    <w:abstractNumId w:val="23"/>
  </w:num>
  <w:num w:numId="22">
    <w:abstractNumId w:val="16"/>
  </w:num>
  <w:num w:numId="23">
    <w:abstractNumId w:val="12"/>
  </w:num>
  <w:num w:numId="24">
    <w:abstractNumId w:val="26"/>
  </w:num>
  <w:num w:numId="25">
    <w:abstractNumId w:val="6"/>
  </w:num>
  <w:num w:numId="26">
    <w:abstractNumId w:val="18"/>
  </w:num>
  <w:num w:numId="2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D115A"/>
    <w:rsid w:val="00100135"/>
    <w:rsid w:val="00112071"/>
    <w:rsid w:val="00117CC6"/>
    <w:rsid w:val="00135A6C"/>
    <w:rsid w:val="00140993"/>
    <w:rsid w:val="00154B66"/>
    <w:rsid w:val="0016200D"/>
    <w:rsid w:val="00166522"/>
    <w:rsid w:val="00195BE9"/>
    <w:rsid w:val="001A2B88"/>
    <w:rsid w:val="001A612D"/>
    <w:rsid w:val="001D31E0"/>
    <w:rsid w:val="001F2DDE"/>
    <w:rsid w:val="001F4507"/>
    <w:rsid w:val="002068CB"/>
    <w:rsid w:val="00210ACB"/>
    <w:rsid w:val="00210CC1"/>
    <w:rsid w:val="00212371"/>
    <w:rsid w:val="00217D55"/>
    <w:rsid w:val="002404C7"/>
    <w:rsid w:val="00247BC5"/>
    <w:rsid w:val="00264629"/>
    <w:rsid w:val="0028452A"/>
    <w:rsid w:val="00295D87"/>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4029F2"/>
    <w:rsid w:val="00406936"/>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73D82"/>
    <w:rsid w:val="00575758"/>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59C5"/>
    <w:rsid w:val="008278C9"/>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1210"/>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7270"/>
    <w:rsid w:val="00B2417B"/>
    <w:rsid w:val="00B86A82"/>
    <w:rsid w:val="00B87E3D"/>
    <w:rsid w:val="00B96E54"/>
    <w:rsid w:val="00BB1357"/>
    <w:rsid w:val="00BB6FFC"/>
    <w:rsid w:val="00BC67B4"/>
    <w:rsid w:val="00BD2273"/>
    <w:rsid w:val="00BE5CE3"/>
    <w:rsid w:val="00BF31FA"/>
    <w:rsid w:val="00C278F4"/>
    <w:rsid w:val="00C32E2B"/>
    <w:rsid w:val="00C331D8"/>
    <w:rsid w:val="00C40EAD"/>
    <w:rsid w:val="00C52475"/>
    <w:rsid w:val="00C6425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A4DEC"/>
    <w:rsid w:val="00DB5008"/>
    <w:rsid w:val="00DC175C"/>
    <w:rsid w:val="00DC50B8"/>
    <w:rsid w:val="00DD0992"/>
    <w:rsid w:val="00DD7C69"/>
    <w:rsid w:val="00DE5B9B"/>
    <w:rsid w:val="00DF51C3"/>
    <w:rsid w:val="00E00A22"/>
    <w:rsid w:val="00E05766"/>
    <w:rsid w:val="00E10EE2"/>
    <w:rsid w:val="00E319A0"/>
    <w:rsid w:val="00E46AEF"/>
    <w:rsid w:val="00E75E1F"/>
    <w:rsid w:val="00E7653A"/>
    <w:rsid w:val="00E9059C"/>
    <w:rsid w:val="00E9086C"/>
    <w:rsid w:val="00E9758D"/>
    <w:rsid w:val="00EE4CB9"/>
    <w:rsid w:val="00EF1764"/>
    <w:rsid w:val="00F01C22"/>
    <w:rsid w:val="00F078AB"/>
    <w:rsid w:val="00F22D10"/>
    <w:rsid w:val="00F261B7"/>
    <w:rsid w:val="00F32227"/>
    <w:rsid w:val="00F6633C"/>
    <w:rsid w:val="00F74269"/>
    <w:rsid w:val="00F77275"/>
    <w:rsid w:val="00F83BC3"/>
    <w:rsid w:val="00F916FD"/>
    <w:rsid w:val="00FA333E"/>
    <w:rsid w:val="00FA3D01"/>
    <w:rsid w:val="00FA547E"/>
    <w:rsid w:val="00FA56A2"/>
    <w:rsid w:val="00FB2151"/>
    <w:rsid w:val="00FD7C0A"/>
    <w:rsid w:val="00FE1FE8"/>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paragraph" w:customStyle="1" w:styleId="ae">
    <w:name w:val="바탕글"/>
    <w:basedOn w:val="a"/>
    <w:rsid w:val="00C64255"/>
    <w:pPr>
      <w:wordWrap w:val="0"/>
      <w:autoSpaceDE w:val="0"/>
      <w:autoSpaceDN w:val="0"/>
      <w:snapToGrid w:val="0"/>
      <w:spacing w:line="384" w:lineRule="auto"/>
      <w:textAlignment w:val="baseline"/>
    </w:pPr>
    <w:rPr>
      <w:rFonts w:ascii="宋体" w:eastAsia="宋体" w:hAnsi="宋体" w:cs="宋体"/>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2035">
      <w:bodyDiv w:val="1"/>
      <w:marLeft w:val="0"/>
      <w:marRight w:val="0"/>
      <w:marTop w:val="0"/>
      <w:marBottom w:val="0"/>
      <w:divBdr>
        <w:top w:val="none" w:sz="0" w:space="0" w:color="auto"/>
        <w:left w:val="none" w:sz="0" w:space="0" w:color="auto"/>
        <w:bottom w:val="none" w:sz="0" w:space="0" w:color="auto"/>
        <w:right w:val="none" w:sz="0" w:space="0" w:color="auto"/>
      </w:divBdr>
    </w:div>
    <w:div w:id="333073257">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615478734">
      <w:bodyDiv w:val="1"/>
      <w:marLeft w:val="0"/>
      <w:marRight w:val="0"/>
      <w:marTop w:val="0"/>
      <w:marBottom w:val="0"/>
      <w:divBdr>
        <w:top w:val="none" w:sz="0" w:space="0" w:color="auto"/>
        <w:left w:val="none" w:sz="0" w:space="0" w:color="auto"/>
        <w:bottom w:val="none" w:sz="0" w:space="0" w:color="auto"/>
        <w:right w:val="none" w:sz="0" w:space="0" w:color="auto"/>
      </w:divBdr>
    </w:div>
    <w:div w:id="843665391">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985347905">
      <w:bodyDiv w:val="1"/>
      <w:marLeft w:val="0"/>
      <w:marRight w:val="0"/>
      <w:marTop w:val="0"/>
      <w:marBottom w:val="0"/>
      <w:divBdr>
        <w:top w:val="none" w:sz="0" w:space="0" w:color="auto"/>
        <w:left w:val="none" w:sz="0" w:space="0" w:color="auto"/>
        <w:bottom w:val="none" w:sz="0" w:space="0" w:color="auto"/>
        <w:right w:val="none" w:sz="0" w:space="0" w:color="auto"/>
      </w:divBdr>
    </w:div>
    <w:div w:id="20795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6B0C1-7984-4809-99B1-E226A21D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7</Pages>
  <Words>1026</Words>
  <Characters>5853</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71</cp:revision>
  <dcterms:created xsi:type="dcterms:W3CDTF">2016-01-15T03:23:00Z</dcterms:created>
  <dcterms:modified xsi:type="dcterms:W3CDTF">2021-01-22T06:12:00Z</dcterms:modified>
</cp:coreProperties>
</file>