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6C31B8" w:rsidRPr="006C31B8" w:rsidRDefault="006C31B8" w:rsidP="006C31B8">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proofErr w:type="spellStart"/>
            <w:r w:rsidRPr="006C31B8">
              <w:rPr>
                <w:rFonts w:ascii="Batang" w:eastAsia="Batang" w:hAnsi="Batang" w:cs="Batang" w:hint="eastAsia"/>
                <w:b/>
                <w:bCs/>
                <w:color w:val="333333"/>
                <w:sz w:val="22"/>
                <w:szCs w:val="22"/>
                <w:lang w:eastAsia="ko-KR"/>
              </w:rPr>
              <w:t>소형저이윤기업과</w:t>
            </w:r>
            <w:proofErr w:type="spellEnd"/>
            <w:r w:rsidRPr="006C31B8">
              <w:rPr>
                <w:rFonts w:ascii="Batang" w:eastAsia="Batang" w:hAnsi="Batang" w:cs="Batang" w:hint="eastAsia"/>
                <w:b/>
                <w:bCs/>
                <w:color w:val="333333"/>
                <w:sz w:val="22"/>
                <w:szCs w:val="22"/>
                <w:lang w:eastAsia="ko-KR"/>
              </w:rPr>
              <w:t xml:space="preserve"> 개인사업자 소득세 우대정책 실행에 관한 공고</w:t>
            </w:r>
          </w:p>
          <w:p w:rsidR="006C31B8" w:rsidRDefault="006C31B8" w:rsidP="006C31B8">
            <w:pPr>
              <w:wordWrap w:val="0"/>
              <w:overflowPunct w:val="0"/>
              <w:topLinePunct/>
              <w:autoSpaceDE w:val="0"/>
              <w:autoSpaceDN w:val="0"/>
              <w:adjustRightInd w:val="0"/>
              <w:snapToGrid w:val="0"/>
              <w:spacing w:line="400" w:lineRule="exact"/>
              <w:jc w:val="center"/>
              <w:rPr>
                <w:rFonts w:ascii="Batang" w:eastAsia="Batang" w:hAnsi="Batang" w:hint="eastAsia"/>
                <w:sz w:val="22"/>
                <w:lang w:eastAsia="ko-KR"/>
              </w:rPr>
            </w:pPr>
            <w:proofErr w:type="spellStart"/>
            <w:r>
              <w:rPr>
                <w:rFonts w:ascii="Batang" w:eastAsia="Batang" w:hAnsi="Batang" w:cs="Batang" w:hint="eastAsia"/>
                <w:sz w:val="22"/>
                <w:lang w:eastAsia="ko-KR"/>
              </w:rPr>
              <w:t>재정부</w:t>
            </w:r>
            <w:proofErr w:type="spellEnd"/>
            <w:r>
              <w:rPr>
                <w:rFonts w:ascii="Batang" w:eastAsia="Batang" w:hAnsi="Batang" w:hint="eastAsia"/>
                <w:sz w:val="22"/>
                <w:lang w:eastAsia="ko-KR"/>
              </w:rPr>
              <w:t xml:space="preserve">, </w:t>
            </w:r>
            <w:r>
              <w:rPr>
                <w:rFonts w:ascii="Batang" w:eastAsia="Batang" w:hAnsi="Batang" w:cs="Batang" w:hint="eastAsia"/>
                <w:sz w:val="22"/>
                <w:lang w:eastAsia="ko-KR"/>
              </w:rPr>
              <w:t>세무총국</w:t>
            </w:r>
            <w:r>
              <w:rPr>
                <w:rFonts w:ascii="Batang" w:eastAsia="Batang" w:hAnsi="Batang" w:hint="eastAsia"/>
                <w:sz w:val="22"/>
                <w:lang w:eastAsia="ko-KR"/>
              </w:rPr>
              <w:t xml:space="preserve"> </w:t>
            </w:r>
            <w:r>
              <w:rPr>
                <w:rFonts w:ascii="Batang" w:eastAsia="Batang" w:hAnsi="Batang" w:cs="Batang" w:hint="eastAsia"/>
                <w:sz w:val="22"/>
                <w:lang w:eastAsia="ko-KR"/>
              </w:rPr>
              <w:t>공고</w:t>
            </w:r>
            <w:r>
              <w:rPr>
                <w:rFonts w:ascii="Batang" w:eastAsia="Batang" w:hAnsi="Batang" w:hint="eastAsia"/>
                <w:sz w:val="22"/>
                <w:lang w:eastAsia="ko-KR"/>
              </w:rPr>
              <w:t xml:space="preserve"> 2021</w:t>
            </w:r>
            <w:r>
              <w:rPr>
                <w:rFonts w:ascii="Batang" w:eastAsia="Batang" w:hAnsi="Batang" w:cs="Batang" w:hint="eastAsia"/>
                <w:sz w:val="22"/>
                <w:lang w:eastAsia="ko-KR"/>
              </w:rPr>
              <w:t>년</w:t>
            </w:r>
            <w:r>
              <w:rPr>
                <w:rFonts w:ascii="Batang" w:eastAsia="Batang" w:hAnsi="Batang" w:hint="eastAsia"/>
                <w:sz w:val="22"/>
                <w:lang w:eastAsia="ko-KR"/>
              </w:rPr>
              <w:t xml:space="preserve"> </w:t>
            </w:r>
            <w:r>
              <w:rPr>
                <w:rFonts w:ascii="Batang" w:eastAsia="Batang" w:hAnsi="Batang" w:cs="Batang" w:hint="eastAsia"/>
                <w:sz w:val="22"/>
                <w:lang w:eastAsia="ko-KR"/>
              </w:rPr>
              <w:t>제</w:t>
            </w:r>
            <w:r>
              <w:rPr>
                <w:rFonts w:ascii="Batang" w:eastAsia="Batang" w:hAnsi="Batang" w:hint="eastAsia"/>
                <w:sz w:val="22"/>
                <w:lang w:eastAsia="ko-KR"/>
              </w:rPr>
              <w:t>12</w:t>
            </w:r>
            <w:r>
              <w:rPr>
                <w:rFonts w:ascii="Batang" w:eastAsia="Batang" w:hAnsi="Batang" w:cs="Batang" w:hint="eastAsia"/>
                <w:sz w:val="22"/>
                <w:lang w:eastAsia="ko-KR"/>
              </w:rPr>
              <w:t>호</w:t>
            </w:r>
          </w:p>
          <w:p w:rsidR="006C31B8" w:rsidRDefault="006C31B8" w:rsidP="006C31B8">
            <w:pPr>
              <w:wordWrap w:val="0"/>
              <w:overflowPunct w:val="0"/>
              <w:topLinePunct/>
              <w:autoSpaceDE w:val="0"/>
              <w:autoSpaceDN w:val="0"/>
              <w:adjustRightInd w:val="0"/>
              <w:snapToGrid w:val="0"/>
              <w:spacing w:line="400" w:lineRule="exact"/>
              <w:rPr>
                <w:rFonts w:ascii="Batang" w:eastAsia="Batang" w:hAnsi="Batang" w:hint="eastAsia"/>
                <w:lang w:eastAsia="ko-KR"/>
              </w:rPr>
            </w:pPr>
          </w:p>
          <w:p w:rsidR="006C31B8" w:rsidRDefault="006C31B8" w:rsidP="006C31B8">
            <w:pPr>
              <w:wordWrap w:val="0"/>
              <w:overflowPunct w:val="0"/>
              <w:topLinePunct/>
              <w:autoSpaceDE w:val="0"/>
              <w:autoSpaceDN w:val="0"/>
              <w:adjustRightInd w:val="0"/>
              <w:snapToGrid w:val="0"/>
              <w:spacing w:line="400" w:lineRule="exact"/>
              <w:rPr>
                <w:rFonts w:ascii="Batang" w:eastAsia="Batang" w:hAnsi="Batang" w:hint="eastAsia"/>
                <w:lang w:eastAsia="ko-KR"/>
              </w:rPr>
            </w:pPr>
          </w:p>
          <w:p w:rsidR="006C31B8" w:rsidRDefault="006C31B8" w:rsidP="006C31B8">
            <w:pPr>
              <w:wordWrap w:val="0"/>
              <w:overflowPunct w:val="0"/>
              <w:topLinePunct/>
              <w:autoSpaceDE w:val="0"/>
              <w:autoSpaceDN w:val="0"/>
              <w:adjustRightInd w:val="0"/>
              <w:snapToGrid w:val="0"/>
              <w:spacing w:line="320" w:lineRule="exact"/>
              <w:ind w:firstLineChars="100" w:firstLine="220"/>
              <w:rPr>
                <w:rFonts w:ascii="Batang" w:eastAsia="Batang" w:hAnsi="Batang" w:hint="eastAsia"/>
                <w:sz w:val="22"/>
                <w:lang w:eastAsia="ko-KR"/>
              </w:rPr>
            </w:pPr>
            <w:proofErr w:type="spellStart"/>
            <w:r>
              <w:rPr>
                <w:rFonts w:ascii="Batang" w:eastAsia="Batang" w:hAnsi="Batang" w:cs="Batang" w:hint="eastAsia"/>
                <w:sz w:val="22"/>
                <w:lang w:eastAsia="ko-KR"/>
              </w:rPr>
              <w:t>소형저이윤기업과</w:t>
            </w:r>
            <w:proofErr w:type="spellEnd"/>
            <w:r>
              <w:rPr>
                <w:rFonts w:ascii="Batang" w:eastAsia="Batang" w:hAnsi="Batang" w:cs="Batang" w:hint="eastAsia"/>
                <w:sz w:val="22"/>
                <w:lang w:eastAsia="ko-KR"/>
              </w:rPr>
              <w:t xml:space="preserve"> 개인사업자(</w:t>
            </w:r>
            <w:proofErr w:type="spellStart"/>
            <w:r>
              <w:rPr>
                <w:rFonts w:ascii="Batang" w:eastAsia="Batang" w:hAnsi="Batang" w:cs="Batang" w:hint="eastAsia"/>
                <w:sz w:val="22"/>
                <w:lang w:eastAsia="ko-KR"/>
              </w:rPr>
              <w:t>個體工商戶</w:t>
            </w:r>
            <w:proofErr w:type="spellEnd"/>
            <w:r>
              <w:rPr>
                <w:rFonts w:ascii="Batang" w:eastAsia="Batang" w:hAnsi="Batang" w:cs="Batang" w:hint="eastAsia"/>
                <w:sz w:val="22"/>
                <w:lang w:eastAsia="ko-KR"/>
              </w:rPr>
              <w:t xml:space="preserve">)의 발전을 진일보 지지하기 위하여 </w:t>
            </w:r>
            <w:proofErr w:type="spellStart"/>
            <w:r>
              <w:rPr>
                <w:rFonts w:ascii="Batang" w:eastAsia="Batang" w:hAnsi="Batang" w:cs="Batang" w:hint="eastAsia"/>
                <w:sz w:val="22"/>
                <w:lang w:eastAsia="ko-KR"/>
              </w:rPr>
              <w:t>소형저이윤기업과</w:t>
            </w:r>
            <w:proofErr w:type="spellEnd"/>
            <w:r>
              <w:rPr>
                <w:rFonts w:ascii="Batang" w:eastAsia="Batang" w:hAnsi="Batang" w:cs="Batang" w:hint="eastAsia"/>
                <w:sz w:val="22"/>
                <w:lang w:eastAsia="ko-KR"/>
              </w:rPr>
              <w:t xml:space="preserve"> 개인사업자 소득세 우대정책 실행에 관한 사항을 다음과 같이 공고한다.</w:t>
            </w:r>
          </w:p>
          <w:p w:rsidR="006C31B8" w:rsidRDefault="006C31B8" w:rsidP="006C31B8">
            <w:pPr>
              <w:wordWrap w:val="0"/>
              <w:overflowPunct w:val="0"/>
              <w:topLinePunct/>
              <w:autoSpaceDE w:val="0"/>
              <w:autoSpaceDN w:val="0"/>
              <w:adjustRightInd w:val="0"/>
              <w:snapToGrid w:val="0"/>
              <w:spacing w:line="320" w:lineRule="exact"/>
              <w:rPr>
                <w:rFonts w:ascii="Batang" w:eastAsia="Batang" w:hAnsi="Batang" w:hint="eastAsia"/>
                <w:sz w:val="22"/>
                <w:lang w:eastAsia="ko-KR"/>
              </w:rPr>
            </w:pPr>
          </w:p>
          <w:p w:rsidR="006C31B8" w:rsidRDefault="006C31B8" w:rsidP="006C31B8">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proofErr w:type="gramStart"/>
            <w:r>
              <w:rPr>
                <w:rFonts w:ascii="Batang" w:eastAsia="Batang" w:hAnsi="Batang" w:cs="Batang" w:hint="eastAsia"/>
                <w:sz w:val="22"/>
                <w:lang w:eastAsia="ko-KR"/>
              </w:rPr>
              <w:t>1.</w:t>
            </w:r>
            <w:proofErr w:type="spellStart"/>
            <w:r>
              <w:rPr>
                <w:rFonts w:ascii="Batang" w:eastAsia="Batang" w:hAnsi="Batang" w:cs="Batang" w:hint="eastAsia"/>
                <w:sz w:val="22"/>
                <w:lang w:eastAsia="ko-KR"/>
              </w:rPr>
              <w:t>소형저이윤기업의</w:t>
            </w:r>
            <w:proofErr w:type="spellEnd"/>
            <w:proofErr w:type="gramEnd"/>
            <w:r>
              <w:rPr>
                <w:rFonts w:ascii="Batang" w:eastAsia="Batang" w:hAnsi="Batang" w:cs="Batang" w:hint="eastAsia"/>
                <w:sz w:val="22"/>
                <w:lang w:eastAsia="ko-KR"/>
              </w:rPr>
              <w:t xml:space="preserve"> 연간 과세소득액 중 100만 위안을 초과하지 아니하는 부분은 &lt;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세무총국의 </w:t>
            </w:r>
            <w:proofErr w:type="spellStart"/>
            <w:r>
              <w:rPr>
                <w:rFonts w:ascii="Batang" w:eastAsia="Batang" w:hAnsi="Batang" w:cs="Batang" w:hint="eastAsia"/>
                <w:sz w:val="22"/>
                <w:lang w:eastAsia="ko-KR"/>
              </w:rPr>
              <w:t>소형저이윤기업에</w:t>
            </w:r>
            <w:proofErr w:type="spellEnd"/>
            <w:r>
              <w:rPr>
                <w:rFonts w:ascii="Batang" w:eastAsia="Batang" w:hAnsi="Batang" w:cs="Batang" w:hint="eastAsia"/>
                <w:sz w:val="22"/>
                <w:lang w:eastAsia="ko-KR"/>
              </w:rPr>
              <w:t xml:space="preserve"> 대한 일반 특혜성 세수 감면정책 실시에 관한 통지&gt;(재세[2019]13호) 제2조에서 규정된 우대정책의 원칙하에 기업소득세를 다시 50% 감면하여 징수한다.</w:t>
            </w:r>
          </w:p>
          <w:p w:rsidR="006C31B8" w:rsidRDefault="006C31B8" w:rsidP="006C31B8">
            <w:pPr>
              <w:wordWrap w:val="0"/>
              <w:overflowPunct w:val="0"/>
              <w:topLinePunct/>
              <w:autoSpaceDE w:val="0"/>
              <w:autoSpaceDN w:val="0"/>
              <w:adjustRightInd w:val="0"/>
              <w:snapToGrid w:val="0"/>
              <w:spacing w:line="320" w:lineRule="exact"/>
              <w:ind w:firstLine="420"/>
              <w:rPr>
                <w:rFonts w:ascii="Batang" w:eastAsia="Batang" w:hAnsi="Batang" w:cs="Batang" w:hint="eastAsia"/>
                <w:sz w:val="22"/>
                <w:lang w:eastAsia="ko-KR"/>
              </w:rPr>
            </w:pPr>
          </w:p>
          <w:p w:rsidR="006C31B8" w:rsidRDefault="006C31B8" w:rsidP="006C31B8">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hint="eastAsia"/>
                <w:sz w:val="22"/>
                <w:lang w:eastAsia="ko-KR"/>
              </w:rPr>
              <w:t xml:space="preserve">2. </w:t>
            </w:r>
            <w:r>
              <w:rPr>
                <w:rFonts w:ascii="Batang" w:eastAsia="Batang" w:hAnsi="Batang" w:cs="Batang" w:hint="eastAsia"/>
                <w:sz w:val="22"/>
                <w:lang w:eastAsia="ko-KR"/>
              </w:rPr>
              <w:t>개인사업자의 연간 과세소득액 중 100만 위안을 초과하지 아니하는 부분은 현행 우대정책의 원칙하에 기업소득세를 50% 감면하여 징수한다.</w:t>
            </w:r>
          </w:p>
          <w:p w:rsidR="006C31B8" w:rsidRDefault="006C31B8" w:rsidP="006C31B8">
            <w:pPr>
              <w:wordWrap w:val="0"/>
              <w:overflowPunct w:val="0"/>
              <w:topLinePunct/>
              <w:autoSpaceDE w:val="0"/>
              <w:autoSpaceDN w:val="0"/>
              <w:adjustRightInd w:val="0"/>
              <w:snapToGrid w:val="0"/>
              <w:spacing w:line="320" w:lineRule="exact"/>
              <w:ind w:firstLine="420"/>
              <w:rPr>
                <w:rFonts w:ascii="Batang" w:eastAsia="Batang" w:hAnsi="Batang" w:hint="eastAsia"/>
                <w:sz w:val="22"/>
                <w:lang w:eastAsia="ko-KR"/>
              </w:rPr>
            </w:pPr>
          </w:p>
          <w:p w:rsidR="006C31B8" w:rsidRDefault="006C31B8" w:rsidP="006C31B8">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3. 본 공고의 집행기간은 2021년 1월 1일부터 2022년 12월 31일까지이다.</w:t>
            </w:r>
          </w:p>
          <w:p w:rsidR="006C31B8" w:rsidRDefault="006C31B8" w:rsidP="006C31B8">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p>
          <w:p w:rsidR="006C31B8" w:rsidRDefault="006C31B8" w:rsidP="006C31B8">
            <w:pPr>
              <w:wordWrap w:val="0"/>
              <w:overflowPunct w:val="0"/>
              <w:topLinePunct/>
              <w:autoSpaceDE w:val="0"/>
              <w:autoSpaceDN w:val="0"/>
              <w:adjustRightInd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이를 특별히 공고한다.</w:t>
            </w:r>
          </w:p>
          <w:p w:rsidR="006C31B8" w:rsidRDefault="006C31B8" w:rsidP="006C31B8">
            <w:pPr>
              <w:wordWrap w:val="0"/>
              <w:overflowPunct w:val="0"/>
              <w:topLinePunct/>
              <w:autoSpaceDE w:val="0"/>
              <w:autoSpaceDN w:val="0"/>
              <w:adjustRightInd w:val="0"/>
              <w:snapToGrid w:val="0"/>
              <w:spacing w:line="320" w:lineRule="exact"/>
              <w:rPr>
                <w:rFonts w:ascii="Batang" w:eastAsia="Batang" w:hAnsi="Batang" w:hint="eastAsia"/>
                <w:sz w:val="22"/>
                <w:lang w:eastAsia="ko-KR"/>
              </w:rPr>
            </w:pPr>
          </w:p>
          <w:p w:rsidR="006C31B8" w:rsidRDefault="006C31B8" w:rsidP="006C31B8">
            <w:pPr>
              <w:wordWrap w:val="0"/>
              <w:overflowPunct w:val="0"/>
              <w:topLinePunct/>
              <w:autoSpaceDE w:val="0"/>
              <w:autoSpaceDN w:val="0"/>
              <w:adjustRightInd w:val="0"/>
              <w:snapToGrid w:val="0"/>
              <w:spacing w:line="320" w:lineRule="exact"/>
              <w:ind w:firstLine="420"/>
              <w:jc w:val="right"/>
              <w:rPr>
                <w:rFonts w:ascii="Batang" w:eastAsia="Batang" w:hAnsi="Batang" w:cs="Batang" w:hint="eastAsia"/>
                <w:sz w:val="22"/>
                <w:lang w:eastAsia="ko-KR"/>
              </w:rPr>
            </w:pPr>
            <w:proofErr w:type="spellStart"/>
            <w:r>
              <w:rPr>
                <w:rFonts w:ascii="Batang" w:eastAsia="Batang" w:hAnsi="Batang" w:cs="Batang" w:hint="eastAsia"/>
                <w:sz w:val="22"/>
                <w:lang w:eastAsia="ko-KR"/>
              </w:rPr>
              <w:t>재정부</w:t>
            </w:r>
            <w:proofErr w:type="spellEnd"/>
          </w:p>
          <w:p w:rsidR="006C31B8" w:rsidRDefault="006C31B8" w:rsidP="006C31B8">
            <w:pPr>
              <w:wordWrap w:val="0"/>
              <w:overflowPunct w:val="0"/>
              <w:topLinePunct/>
              <w:autoSpaceDE w:val="0"/>
              <w:autoSpaceDN w:val="0"/>
              <w:adjustRightInd w:val="0"/>
              <w:snapToGrid w:val="0"/>
              <w:spacing w:line="320" w:lineRule="exact"/>
              <w:ind w:firstLine="420"/>
              <w:jc w:val="right"/>
              <w:rPr>
                <w:rFonts w:ascii="Batang" w:eastAsia="Batang" w:hAnsi="Batang" w:hint="eastAsia"/>
                <w:sz w:val="22"/>
                <w:lang w:eastAsia="ko-KR"/>
              </w:rPr>
            </w:pPr>
            <w:r>
              <w:rPr>
                <w:rFonts w:ascii="Batang" w:eastAsia="Batang" w:hAnsi="Batang" w:hint="eastAsia"/>
                <w:sz w:val="22"/>
                <w:lang w:eastAsia="ko-KR"/>
              </w:rPr>
              <w:t xml:space="preserve">   </w:t>
            </w:r>
          </w:p>
          <w:p w:rsidR="006C31B8" w:rsidRDefault="006C31B8" w:rsidP="006C31B8">
            <w:pPr>
              <w:wordWrap w:val="0"/>
              <w:overflowPunct w:val="0"/>
              <w:topLinePunct/>
              <w:autoSpaceDE w:val="0"/>
              <w:autoSpaceDN w:val="0"/>
              <w:adjustRightInd w:val="0"/>
              <w:snapToGrid w:val="0"/>
              <w:spacing w:line="320" w:lineRule="exact"/>
              <w:ind w:firstLine="420"/>
              <w:jc w:val="right"/>
              <w:rPr>
                <w:rFonts w:ascii="Batang" w:eastAsia="Batang" w:hAnsi="Batang" w:cs="Batang" w:hint="eastAsia"/>
                <w:sz w:val="22"/>
                <w:lang w:eastAsia="ko-KR"/>
              </w:rPr>
            </w:pPr>
            <w:r>
              <w:rPr>
                <w:rFonts w:ascii="Batang" w:eastAsia="Batang" w:hAnsi="Batang" w:cs="Batang" w:hint="eastAsia"/>
                <w:sz w:val="22"/>
                <w:lang w:eastAsia="ko-KR"/>
              </w:rPr>
              <w:t>세무총국</w:t>
            </w:r>
          </w:p>
          <w:p w:rsidR="006C31B8" w:rsidRDefault="006C31B8" w:rsidP="006C31B8">
            <w:pPr>
              <w:wordWrap w:val="0"/>
              <w:overflowPunct w:val="0"/>
              <w:topLinePunct/>
              <w:autoSpaceDE w:val="0"/>
              <w:autoSpaceDN w:val="0"/>
              <w:adjustRightInd w:val="0"/>
              <w:snapToGrid w:val="0"/>
              <w:spacing w:line="320" w:lineRule="exact"/>
              <w:ind w:firstLine="420"/>
              <w:jc w:val="right"/>
              <w:rPr>
                <w:rFonts w:ascii="Batang" w:eastAsia="Batang" w:hAnsi="Batang" w:hint="eastAsia"/>
                <w:sz w:val="22"/>
                <w:lang w:eastAsia="ko-KR"/>
              </w:rPr>
            </w:pPr>
          </w:p>
          <w:p w:rsidR="006C31B8" w:rsidRDefault="006C31B8" w:rsidP="006C31B8">
            <w:pPr>
              <w:wordWrap w:val="0"/>
              <w:overflowPunct w:val="0"/>
              <w:topLinePunct/>
              <w:autoSpaceDE w:val="0"/>
              <w:autoSpaceDN w:val="0"/>
              <w:adjustRightInd w:val="0"/>
              <w:snapToGrid w:val="0"/>
              <w:spacing w:line="320" w:lineRule="exact"/>
              <w:ind w:firstLine="420"/>
              <w:jc w:val="right"/>
              <w:rPr>
                <w:rFonts w:ascii="Batang" w:eastAsia="Batang" w:hAnsi="Batang" w:cs="Batang" w:hint="eastAsia"/>
                <w:sz w:val="22"/>
                <w:lang w:eastAsia="ko-KR"/>
              </w:rPr>
            </w:pPr>
            <w:r>
              <w:rPr>
                <w:rFonts w:ascii="Batang" w:eastAsia="Batang" w:hAnsi="Batang" w:cs="Batang" w:hint="eastAsia"/>
                <w:sz w:val="22"/>
                <w:lang w:eastAsia="ko-KR"/>
              </w:rPr>
              <w:t>2021년 4월 2일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6C31B8" w:rsidRPr="006C31B8" w:rsidRDefault="006C31B8" w:rsidP="006C31B8">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6C31B8">
              <w:rPr>
                <w:rFonts w:ascii="Batang" w:eastAsia="Batang" w:hAnsi="Batang" w:cs="Batang" w:hint="eastAsia"/>
                <w:b/>
                <w:bCs/>
                <w:color w:val="333333"/>
                <w:sz w:val="22"/>
                <w:szCs w:val="22"/>
              </w:rPr>
              <w:t>关于实施小微企业和个体工商户所得税</w:t>
            </w:r>
          </w:p>
          <w:p w:rsidR="006C31B8" w:rsidRPr="006C31B8" w:rsidRDefault="006C31B8" w:rsidP="006C31B8">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6C31B8">
              <w:rPr>
                <w:rFonts w:ascii="Batang" w:eastAsia="Batang" w:hAnsi="Batang" w:cs="Batang" w:hint="eastAsia"/>
                <w:b/>
                <w:bCs/>
                <w:color w:val="333333"/>
                <w:sz w:val="22"/>
                <w:szCs w:val="22"/>
              </w:rPr>
              <w:t>优惠政策的公告</w:t>
            </w:r>
          </w:p>
          <w:p w:rsidR="006C31B8" w:rsidRPr="00643EC0" w:rsidRDefault="006C31B8" w:rsidP="006C31B8">
            <w:pPr>
              <w:snapToGrid w:val="0"/>
              <w:spacing w:line="360" w:lineRule="auto"/>
              <w:jc w:val="center"/>
              <w:rPr>
                <w:rFonts w:ascii="宋体" w:eastAsia="宋体" w:hAnsi="宋体"/>
              </w:rPr>
            </w:pPr>
            <w:r w:rsidRPr="00643EC0">
              <w:rPr>
                <w:rFonts w:ascii="宋体" w:eastAsia="宋体" w:hAnsi="宋体" w:hint="eastAsia"/>
              </w:rPr>
              <w:t>财政部</w:t>
            </w:r>
            <w:r>
              <w:rPr>
                <w:rFonts w:ascii="宋体" w:eastAsia="宋体" w:hAnsi="宋体" w:hint="eastAsia"/>
              </w:rPr>
              <w:t>、</w:t>
            </w:r>
            <w:r w:rsidRPr="00643EC0">
              <w:rPr>
                <w:rFonts w:ascii="宋体" w:eastAsia="宋体" w:hAnsi="宋体"/>
              </w:rPr>
              <w:t>税务总局公告2021年第12号</w:t>
            </w:r>
          </w:p>
          <w:p w:rsidR="006C31B8" w:rsidRDefault="006C31B8" w:rsidP="006C31B8">
            <w:pPr>
              <w:snapToGrid w:val="0"/>
              <w:spacing w:line="360" w:lineRule="auto"/>
              <w:rPr>
                <w:rFonts w:ascii="宋体" w:eastAsia="宋体" w:hAnsi="宋体"/>
              </w:rPr>
            </w:pPr>
          </w:p>
          <w:p w:rsidR="006C31B8" w:rsidRPr="00643EC0" w:rsidRDefault="006C31B8" w:rsidP="006C31B8">
            <w:pPr>
              <w:snapToGrid w:val="0"/>
              <w:spacing w:line="360" w:lineRule="auto"/>
              <w:rPr>
                <w:rFonts w:ascii="宋体" w:eastAsia="宋体" w:hAnsi="宋体"/>
              </w:rPr>
            </w:pPr>
          </w:p>
          <w:p w:rsidR="006C31B8" w:rsidRPr="00643EC0" w:rsidRDefault="006C31B8" w:rsidP="006C31B8">
            <w:pPr>
              <w:snapToGrid w:val="0"/>
              <w:spacing w:line="360" w:lineRule="auto"/>
              <w:rPr>
                <w:rFonts w:ascii="宋体" w:eastAsia="宋体" w:hAnsi="宋体"/>
              </w:rPr>
            </w:pPr>
            <w:r w:rsidRPr="00643EC0">
              <w:rPr>
                <w:rFonts w:ascii="宋体" w:eastAsia="宋体" w:hAnsi="宋体" w:hint="eastAsia"/>
              </w:rPr>
              <w:t xml:space="preserve">　　为进一步支持小微企业和个体工商户发展，现就实施小微企业和个体工商户所得税优惠政策有关事</w:t>
            </w:r>
            <w:bookmarkStart w:id="0" w:name="_GoBack"/>
            <w:bookmarkEnd w:id="0"/>
            <w:r w:rsidRPr="00643EC0">
              <w:rPr>
                <w:rFonts w:ascii="宋体" w:eastAsia="宋体" w:hAnsi="宋体" w:hint="eastAsia"/>
              </w:rPr>
              <w:t>项公告如下：</w:t>
            </w:r>
          </w:p>
          <w:p w:rsidR="006C31B8" w:rsidRPr="00643EC0" w:rsidRDefault="006C31B8" w:rsidP="006C31B8">
            <w:pPr>
              <w:snapToGrid w:val="0"/>
              <w:spacing w:line="360" w:lineRule="auto"/>
              <w:rPr>
                <w:rFonts w:ascii="宋体" w:eastAsia="宋体" w:hAnsi="宋体"/>
              </w:rPr>
            </w:pPr>
          </w:p>
          <w:p w:rsidR="006C31B8" w:rsidRPr="00643EC0" w:rsidRDefault="006C31B8" w:rsidP="006C31B8">
            <w:pPr>
              <w:snapToGrid w:val="0"/>
              <w:spacing w:line="360" w:lineRule="auto"/>
              <w:rPr>
                <w:rFonts w:ascii="宋体" w:eastAsia="宋体" w:hAnsi="宋体"/>
              </w:rPr>
            </w:pPr>
            <w:r w:rsidRPr="00643EC0">
              <w:rPr>
                <w:rFonts w:ascii="宋体" w:eastAsia="宋体" w:hAnsi="宋体" w:hint="eastAsia"/>
              </w:rPr>
              <w:t xml:space="preserve">　　一、对小型微利企业年应纳税所得额不超过</w:t>
            </w:r>
            <w:r w:rsidRPr="00643EC0">
              <w:rPr>
                <w:rFonts w:ascii="宋体" w:eastAsia="宋体" w:hAnsi="宋体"/>
              </w:rPr>
              <w:t>100万元的部分，在《财政部 税务总局关于实施小微企业普惠性税收减免政策的通知》（财税〔2019〕13号）第二条规定的优惠政策基础上，再减半征收企业所得税。</w:t>
            </w:r>
          </w:p>
          <w:p w:rsidR="006C31B8" w:rsidRDefault="006C31B8" w:rsidP="006C31B8">
            <w:pPr>
              <w:snapToGrid w:val="0"/>
              <w:spacing w:line="360" w:lineRule="auto"/>
              <w:ind w:firstLine="450"/>
              <w:rPr>
                <w:rFonts w:ascii="宋体" w:hAnsi="宋体" w:hint="eastAsia"/>
              </w:rPr>
            </w:pPr>
            <w:r w:rsidRPr="00643EC0">
              <w:rPr>
                <w:rFonts w:ascii="宋体" w:eastAsia="宋体" w:hAnsi="宋体" w:hint="eastAsia"/>
              </w:rPr>
              <w:t>二、对个体工商户年应纳税所得额不超过</w:t>
            </w:r>
            <w:r w:rsidRPr="00643EC0">
              <w:rPr>
                <w:rFonts w:ascii="宋体" w:eastAsia="宋体" w:hAnsi="宋体"/>
              </w:rPr>
              <w:t>100万元的部分，在现行优惠政策基础上，减半征收个人所得税。</w:t>
            </w:r>
          </w:p>
          <w:p w:rsidR="006C31B8" w:rsidRPr="006C31B8" w:rsidRDefault="006C31B8" w:rsidP="006C31B8">
            <w:pPr>
              <w:snapToGrid w:val="0"/>
              <w:spacing w:line="360" w:lineRule="auto"/>
              <w:ind w:firstLine="450"/>
              <w:rPr>
                <w:rFonts w:ascii="宋体" w:hAnsi="宋体" w:hint="eastAsia"/>
              </w:rPr>
            </w:pPr>
          </w:p>
          <w:p w:rsidR="006C31B8" w:rsidRPr="00643EC0" w:rsidRDefault="006C31B8" w:rsidP="006C31B8">
            <w:pPr>
              <w:snapToGrid w:val="0"/>
              <w:spacing w:line="360" w:lineRule="auto"/>
              <w:rPr>
                <w:rFonts w:ascii="宋体" w:eastAsia="宋体" w:hAnsi="宋体"/>
              </w:rPr>
            </w:pPr>
            <w:r w:rsidRPr="00643EC0">
              <w:rPr>
                <w:rFonts w:ascii="宋体" w:eastAsia="宋体" w:hAnsi="宋体" w:hint="eastAsia"/>
              </w:rPr>
              <w:t xml:space="preserve">　　三、本公告执行期限为</w:t>
            </w:r>
            <w:r w:rsidRPr="00643EC0">
              <w:rPr>
                <w:rFonts w:ascii="宋体" w:eastAsia="宋体" w:hAnsi="宋体"/>
              </w:rPr>
              <w:t>2021年1月1日至2022年12月31日。</w:t>
            </w:r>
          </w:p>
          <w:p w:rsidR="006C31B8" w:rsidRPr="00643EC0" w:rsidRDefault="006C31B8" w:rsidP="006C31B8">
            <w:pPr>
              <w:snapToGrid w:val="0"/>
              <w:spacing w:line="360" w:lineRule="auto"/>
              <w:rPr>
                <w:rFonts w:ascii="宋体" w:eastAsia="宋体" w:hAnsi="宋体"/>
              </w:rPr>
            </w:pPr>
          </w:p>
          <w:p w:rsidR="006C31B8" w:rsidRPr="00643EC0" w:rsidRDefault="006C31B8" w:rsidP="006C31B8">
            <w:pPr>
              <w:snapToGrid w:val="0"/>
              <w:spacing w:line="360" w:lineRule="auto"/>
              <w:rPr>
                <w:rFonts w:ascii="宋体" w:eastAsia="宋体" w:hAnsi="宋体"/>
              </w:rPr>
            </w:pPr>
            <w:r w:rsidRPr="00643EC0">
              <w:rPr>
                <w:rFonts w:ascii="宋体" w:eastAsia="宋体" w:hAnsi="宋体" w:hint="eastAsia"/>
              </w:rPr>
              <w:t xml:space="preserve">　　特此公告。</w:t>
            </w:r>
          </w:p>
          <w:p w:rsidR="006C31B8" w:rsidRPr="00643EC0" w:rsidRDefault="006C31B8" w:rsidP="006C31B8">
            <w:pPr>
              <w:snapToGrid w:val="0"/>
              <w:spacing w:line="360" w:lineRule="auto"/>
              <w:rPr>
                <w:rFonts w:ascii="宋体" w:eastAsia="宋体" w:hAnsi="宋体"/>
              </w:rPr>
            </w:pPr>
          </w:p>
          <w:p w:rsidR="006C31B8" w:rsidRDefault="006C31B8" w:rsidP="006C31B8">
            <w:pPr>
              <w:snapToGrid w:val="0"/>
              <w:spacing w:line="360" w:lineRule="auto"/>
              <w:ind w:firstLine="420"/>
              <w:jc w:val="right"/>
              <w:rPr>
                <w:rFonts w:ascii="宋体" w:eastAsia="宋体" w:hAnsi="宋体"/>
              </w:rPr>
            </w:pPr>
            <w:r w:rsidRPr="00643EC0">
              <w:rPr>
                <w:rFonts w:ascii="宋体" w:eastAsia="宋体" w:hAnsi="宋体" w:hint="eastAsia"/>
              </w:rPr>
              <w:t>财政部</w:t>
            </w:r>
            <w:r w:rsidRPr="00643EC0">
              <w:rPr>
                <w:rFonts w:ascii="宋体" w:eastAsia="宋体" w:hAnsi="宋体"/>
              </w:rPr>
              <w:t xml:space="preserve">   </w:t>
            </w:r>
          </w:p>
          <w:p w:rsidR="006C31B8" w:rsidRPr="00643EC0" w:rsidRDefault="006C31B8" w:rsidP="006C31B8">
            <w:pPr>
              <w:snapToGrid w:val="0"/>
              <w:spacing w:line="360" w:lineRule="auto"/>
              <w:ind w:firstLine="420"/>
              <w:jc w:val="right"/>
              <w:rPr>
                <w:rFonts w:ascii="宋体" w:eastAsia="宋体" w:hAnsi="宋体"/>
              </w:rPr>
            </w:pPr>
            <w:r w:rsidRPr="00643EC0">
              <w:rPr>
                <w:rFonts w:ascii="宋体" w:eastAsia="宋体" w:hAnsi="宋体"/>
              </w:rPr>
              <w:t>税务总局</w:t>
            </w:r>
          </w:p>
          <w:p w:rsidR="006C31B8" w:rsidRPr="00643EC0" w:rsidRDefault="006C31B8" w:rsidP="006C31B8">
            <w:pPr>
              <w:snapToGrid w:val="0"/>
              <w:spacing w:line="360" w:lineRule="auto"/>
              <w:jc w:val="right"/>
              <w:rPr>
                <w:rFonts w:ascii="宋体" w:eastAsia="宋体" w:hAnsi="宋体"/>
              </w:rPr>
            </w:pPr>
            <w:r w:rsidRPr="00643EC0">
              <w:rPr>
                <w:rFonts w:ascii="宋体" w:eastAsia="宋体" w:hAnsi="宋体" w:hint="eastAsia"/>
              </w:rPr>
              <w:t xml:space="preserve">　　</w:t>
            </w:r>
            <w:r w:rsidRPr="00643EC0">
              <w:rPr>
                <w:rFonts w:ascii="宋体" w:eastAsia="宋体" w:hAnsi="宋体"/>
              </w:rPr>
              <w:t>2021年4月2日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C2" w:rsidRDefault="00AA2AC2" w:rsidP="00C278F4">
      <w:r>
        <w:separator/>
      </w:r>
    </w:p>
  </w:endnote>
  <w:endnote w:type="continuationSeparator" w:id="0">
    <w:p w:rsidR="00AA2AC2" w:rsidRDefault="00AA2AC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C2" w:rsidRDefault="00AA2AC2" w:rsidP="00C278F4">
      <w:r>
        <w:separator/>
      </w:r>
    </w:p>
  </w:footnote>
  <w:footnote w:type="continuationSeparator" w:id="0">
    <w:p w:rsidR="00AA2AC2" w:rsidRDefault="00AA2AC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34A1"/>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96496"/>
    <w:rsid w:val="004A53BA"/>
    <w:rsid w:val="004A6A46"/>
    <w:rsid w:val="004A76BB"/>
    <w:rsid w:val="004B01FD"/>
    <w:rsid w:val="004B2981"/>
    <w:rsid w:val="004B30A1"/>
    <w:rsid w:val="004B4C63"/>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31B8"/>
    <w:rsid w:val="006C6FC5"/>
    <w:rsid w:val="006C7B00"/>
    <w:rsid w:val="006E2B22"/>
    <w:rsid w:val="006F037F"/>
    <w:rsid w:val="006F4C24"/>
    <w:rsid w:val="0070285D"/>
    <w:rsid w:val="00712549"/>
    <w:rsid w:val="00725B68"/>
    <w:rsid w:val="007428D2"/>
    <w:rsid w:val="00754EB6"/>
    <w:rsid w:val="007559F0"/>
    <w:rsid w:val="00763D92"/>
    <w:rsid w:val="00765D53"/>
    <w:rsid w:val="007668FA"/>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2AC2"/>
    <w:rsid w:val="00AA3F7C"/>
    <w:rsid w:val="00AD2A3D"/>
    <w:rsid w:val="00AD4C46"/>
    <w:rsid w:val="00AF07C7"/>
    <w:rsid w:val="00AF4976"/>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10F00"/>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79446775">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288249906">
      <w:bodyDiv w:val="1"/>
      <w:marLeft w:val="0"/>
      <w:marRight w:val="0"/>
      <w:marTop w:val="0"/>
      <w:marBottom w:val="0"/>
      <w:divBdr>
        <w:top w:val="none" w:sz="0" w:space="0" w:color="auto"/>
        <w:left w:val="none" w:sz="0" w:space="0" w:color="auto"/>
        <w:bottom w:val="none" w:sz="0" w:space="0" w:color="auto"/>
        <w:right w:val="none" w:sz="0" w:space="0" w:color="auto"/>
      </w:divBdr>
    </w:div>
    <w:div w:id="294144638">
      <w:bodyDiv w:val="1"/>
      <w:marLeft w:val="0"/>
      <w:marRight w:val="0"/>
      <w:marTop w:val="0"/>
      <w:marBottom w:val="0"/>
      <w:divBdr>
        <w:top w:val="none" w:sz="0" w:space="0" w:color="auto"/>
        <w:left w:val="none" w:sz="0" w:space="0" w:color="auto"/>
        <w:bottom w:val="none" w:sz="0" w:space="0" w:color="auto"/>
        <w:right w:val="none" w:sz="0" w:space="0" w:color="auto"/>
      </w:divBdr>
    </w:div>
    <w:div w:id="303393541">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855000448">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385448835">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37123272">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18E2-92A4-4F94-B389-EBAB4A17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119</Words>
  <Characters>680</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83</cp:revision>
  <dcterms:created xsi:type="dcterms:W3CDTF">2016-01-15T03:23:00Z</dcterms:created>
  <dcterms:modified xsi:type="dcterms:W3CDTF">2021-04-19T01:25:00Z</dcterms:modified>
</cp:coreProperties>
</file>