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04092E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국가세무총국의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w w:val="90"/>
                <w:sz w:val="26"/>
                <w:szCs w:val="26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b/>
                <w:bCs/>
                <w:w w:val="90"/>
                <w:sz w:val="26"/>
                <w:szCs w:val="26"/>
                <w:lang w:eastAsia="ko-KR"/>
              </w:rPr>
              <w:t>2020년 4월 납세신고기한 연장에 따른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유관사항에 관한 통지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세총함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[2020]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55호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각 성,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직할시와 </w:t>
            </w:r>
            <w:proofErr w:type="spellStart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세무국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국가세무총국 각지 주재 특파원 </w:t>
            </w:r>
            <w:proofErr w:type="spellStart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판사처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국(局)내 각 단위: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77"/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코로나1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9 </w:t>
            </w: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방역업무와 기업 생산재개를 보다 더 지원하고,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 xml:space="preserve">납세자와 원천징수의무자(이하 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>‘</w:t>
            </w: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납세자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>’)</w:t>
            </w: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 xml:space="preserve">가 납세신고 사안을 처리함에 있어 편의를 제공하고자, 세무총국은 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>2020</w:t>
            </w: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 xml:space="preserve">년 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>4</w:t>
            </w:r>
            <w:r w:rsidRPr="0004092E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월분 납세신고기한을 연장하기로 결정하였고 이에 유관사항을 다음과 같이 통지한다.</w:t>
            </w:r>
            <w:r w:rsidRPr="0004092E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월별 및 분기별로 신고하는 납세자는 전국적으로 납세신고기한을 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4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20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일부터 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4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24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일까지 연장하고,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호북성은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상황에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맞춰 다시 적절히 연장할 수 있으며,</w:t>
            </w:r>
            <w:r w:rsidRPr="0004092E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구체적인 적용범위와 마감일자는 </w:t>
            </w:r>
            <w:proofErr w:type="spellStart"/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호북성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세무국에서</w:t>
            </w:r>
            <w:proofErr w:type="spellEnd"/>
            <w:r w:rsidRPr="0004092E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법에 의거 명확히 한다.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납세자가 코로나1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9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영향을 받아 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월분 납세신고기한 내 신고를 처리하기 여전히 곤란할 경우,</w:t>
            </w:r>
            <w:r w:rsidRPr="0004092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법에 의거 세무기관에 연기신고를 신청하여 처리할 수 있다.</w:t>
            </w: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각지 세무기관은 착실히 집행에 따르고, 문제가 생길 경우에는 즉각 세무총국(징수관리와 과학기술발전사)에 보고하시기 바랍니다.</w:t>
            </w:r>
          </w:p>
          <w:p w:rsid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DB5008" w:rsidRPr="009570BC" w:rsidRDefault="0004092E" w:rsidP="0004092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4092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3월 30일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04092E" w:rsidRPr="0004092E" w:rsidRDefault="0004092E" w:rsidP="0004092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04092E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国家税务总局</w:t>
            </w:r>
          </w:p>
          <w:p w:rsidR="0004092E" w:rsidRPr="0004092E" w:rsidRDefault="0004092E" w:rsidP="0004092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04092E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关于延长</w:t>
            </w:r>
            <w:r w:rsidRPr="0004092E">
              <w:rPr>
                <w:rFonts w:ascii="SimSun" w:eastAsia="SimSun" w:hAnsi="SimSun"/>
                <w:b/>
                <w:bCs/>
                <w:sz w:val="26"/>
                <w:szCs w:val="26"/>
              </w:rPr>
              <w:t>2020年4月纳税申报期限有关事项的通知</w:t>
            </w:r>
          </w:p>
          <w:p w:rsidR="0004092E" w:rsidRPr="0004092E" w:rsidRDefault="0004092E" w:rsidP="0004092E">
            <w:pPr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税总函〔</w:t>
            </w:r>
            <w:r w:rsidRPr="0004092E">
              <w:rPr>
                <w:rFonts w:ascii="SimSun" w:eastAsia="SimSun" w:hAnsi="SimSun"/>
                <w:szCs w:val="21"/>
              </w:rPr>
              <w:t>2020〕55号</w:t>
            </w: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国家税务总局各省、自治区、直辖市和计划单列市税务局，国家税务总局驻各地特派员办事处，局内各单位：</w:t>
            </w:r>
            <w:r w:rsidRPr="0004092E">
              <w:rPr>
                <w:rFonts w:ascii="SimSun" w:eastAsia="SimSun" w:hAnsi="SimSun"/>
                <w:szCs w:val="21"/>
              </w:rPr>
              <w:t> </w:t>
            </w: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为进一步支持疫情防控工作和企业复工复产，便利纳税人、扣缴义务人（以下简称纳税人）办理纳税申报事宜，税务总局决定延长</w:t>
            </w:r>
            <w:r w:rsidRPr="0004092E">
              <w:rPr>
                <w:rFonts w:ascii="SimSun" w:eastAsia="SimSun" w:hAnsi="SimSun"/>
                <w:szCs w:val="21"/>
              </w:rPr>
              <w:t>2020年4月份纳税申报期限，现将有关事项通知如下：</w:t>
            </w: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一、对按月申报、按季申报的纳税人，在全国范围内将纳税申报期限由</w:t>
            </w:r>
            <w:r w:rsidRPr="0004092E">
              <w:rPr>
                <w:rFonts w:ascii="SimSun" w:eastAsia="SimSun" w:hAnsi="SimSun"/>
                <w:szCs w:val="21"/>
              </w:rPr>
              <w:t>4月20日延长至4月24日；湖北省可以视情况再适当延长，具体适用范围和截止日期由湖北省税务局依法明确。</w:t>
            </w: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二、纳税人受疫情影响，在</w:t>
            </w:r>
            <w:r w:rsidRPr="0004092E">
              <w:rPr>
                <w:rFonts w:ascii="SimSun" w:eastAsia="SimSun" w:hAnsi="SimSun"/>
                <w:szCs w:val="21"/>
              </w:rPr>
              <w:t>2020年4月份纳税申报期限内办理申报仍有困难的，可以依法向税务机关申请办理延期申报。</w:t>
            </w: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各地税务机关要认真遵照执行，遇到问题请及时向税务总局（征管和科技发展司）报告。</w:t>
            </w: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04092E" w:rsidRPr="0004092E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04092E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DB5008" w:rsidRPr="00E9086C" w:rsidRDefault="0004092E" w:rsidP="0004092E">
            <w:pPr>
              <w:wordWrap w:val="0"/>
              <w:topLinePunct/>
              <w:adjustRightInd w:val="0"/>
              <w:snapToGrid w:val="0"/>
              <w:spacing w:line="300" w:lineRule="auto"/>
              <w:jc w:val="right"/>
              <w:rPr>
                <w:spacing w:val="15"/>
                <w:szCs w:val="21"/>
              </w:rPr>
            </w:pPr>
            <w:r w:rsidRPr="0004092E">
              <w:rPr>
                <w:rFonts w:ascii="SimSun" w:eastAsia="SimSun" w:hAnsi="SimSun"/>
                <w:szCs w:val="21"/>
              </w:rPr>
              <w:t>2020年3月30日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9C" w:rsidRDefault="00E9059C" w:rsidP="00C278F4">
      <w:r>
        <w:separator/>
      </w:r>
    </w:p>
  </w:endnote>
  <w:endnote w:type="continuationSeparator" w:id="0">
    <w:p w:rsidR="00E9059C" w:rsidRDefault="00E9059C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9C" w:rsidRDefault="00E9059C" w:rsidP="00C278F4">
      <w:r>
        <w:separator/>
      </w:r>
    </w:p>
  </w:footnote>
  <w:footnote w:type="continuationSeparator" w:id="0">
    <w:p w:rsidR="00E9059C" w:rsidRDefault="00E9059C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0F5C-83B5-4A42-8CCC-8415F91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207</Words>
  <Characters>773</Characters>
  <Application>Microsoft Office Word</Application>
  <DocSecurity>0</DocSecurity>
  <Lines>45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60</cp:revision>
  <dcterms:created xsi:type="dcterms:W3CDTF">2016-01-15T03:23:00Z</dcterms:created>
  <dcterms:modified xsi:type="dcterms:W3CDTF">2020-04-01T08:12:00Z</dcterms:modified>
</cp:coreProperties>
</file>