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285BD9" w:rsidRPr="00285BD9" w:rsidRDefault="00285BD9" w:rsidP="00285BD9">
            <w:pPr>
              <w:wordWrap w:val="0"/>
              <w:autoSpaceDN w:val="0"/>
              <w:snapToGrid w:val="0"/>
              <w:spacing w:line="290" w:lineRule="atLeast"/>
              <w:jc w:val="center"/>
              <w:rPr>
                <w:rFonts w:ascii="한컴바탕" w:eastAsia="한컴바탕" w:hAnsi="한컴바탕" w:cs="한컴바탕"/>
                <w:b/>
                <w:sz w:val="26"/>
                <w:szCs w:val="26"/>
                <w:lang w:eastAsia="ko-KR"/>
              </w:rPr>
            </w:pPr>
            <w:r w:rsidRPr="00285BD9">
              <w:rPr>
                <w:rFonts w:ascii="한컴바탕" w:eastAsia="한컴바탕" w:hAnsi="한컴바탕" w:cs="한컴바탕" w:hint="eastAsia"/>
                <w:b/>
                <w:sz w:val="26"/>
                <w:szCs w:val="26"/>
                <w:lang w:eastAsia="ko-KR"/>
              </w:rPr>
              <w:t>국가외환관리국의</w:t>
            </w:r>
            <w:r>
              <w:rPr>
                <w:rFonts w:ascii="한컴바탕" w:eastAsia="한컴바탕" w:hAnsi="한컴바탕" w:cs="한컴바탕" w:hint="eastAsia"/>
                <w:b/>
                <w:sz w:val="26"/>
                <w:szCs w:val="26"/>
                <w:lang w:eastAsia="ko-KR"/>
              </w:rPr>
              <w:t xml:space="preserve"> </w:t>
            </w:r>
            <w:r w:rsidRPr="00285BD9">
              <w:rPr>
                <w:rFonts w:ascii="한컴바탕" w:eastAsia="한컴바탕" w:hAnsi="한컴바탕" w:cs="한컴바탕" w:hint="eastAsia"/>
                <w:b/>
                <w:sz w:val="26"/>
                <w:szCs w:val="26"/>
                <w:lang w:eastAsia="ko-KR"/>
              </w:rPr>
              <w:t>외환관리</w:t>
            </w:r>
            <w:r w:rsidRPr="00285BD9">
              <w:rPr>
                <w:rFonts w:ascii="한컴바탕" w:eastAsia="한컴바탕" w:hAnsi="한컴바탕" w:cs="한컴바탕"/>
                <w:b/>
                <w:sz w:val="26"/>
                <w:szCs w:val="26"/>
                <w:lang w:eastAsia="ko-KR"/>
              </w:rPr>
              <w:t xml:space="preserve"> 개혁 진일보 촉진 및 진실성</w:t>
            </w:r>
            <w:r>
              <w:rPr>
                <w:rFonts w:ascii="한컴바탕" w:eastAsia="한컴바탕" w:hAnsi="한컴바탕" w:cs="한컴바탕" w:hint="eastAsia"/>
                <w:b/>
                <w:sz w:val="26"/>
                <w:szCs w:val="26"/>
                <w:lang w:eastAsia="ko-KR"/>
              </w:rPr>
              <w:t>ㆍ</w:t>
            </w:r>
            <w:r w:rsidRPr="00285BD9">
              <w:rPr>
                <w:rFonts w:ascii="한컴바탕" w:eastAsia="한컴바탕" w:hAnsi="한컴바탕" w:cs="한컴바탕"/>
                <w:b/>
                <w:sz w:val="26"/>
                <w:szCs w:val="26"/>
                <w:lang w:eastAsia="ko-KR"/>
              </w:rPr>
              <w:t>적법성 심사 강화에 관한 통지</w:t>
            </w:r>
          </w:p>
          <w:p w:rsidR="00285BD9" w:rsidRPr="00285BD9" w:rsidRDefault="00285BD9" w:rsidP="00285BD9">
            <w:pPr>
              <w:wordWrap w:val="0"/>
              <w:autoSpaceDN w:val="0"/>
              <w:snapToGrid w:val="0"/>
              <w:spacing w:line="290" w:lineRule="atLeast"/>
              <w:jc w:val="center"/>
              <w:rPr>
                <w:rFonts w:ascii="한컴바탕" w:eastAsia="한컴바탕" w:hAnsi="한컴바탕" w:cs="한컴바탕"/>
                <w:spacing w:val="-6"/>
                <w:szCs w:val="21"/>
                <w:lang w:eastAsia="ko-KR"/>
              </w:rPr>
            </w:pPr>
            <w:r w:rsidRPr="00285BD9">
              <w:rPr>
                <w:rFonts w:ascii="한컴바탕" w:eastAsia="한컴바탕" w:hAnsi="한컴바탕" w:cs="한컴바탕" w:hint="eastAsia"/>
                <w:spacing w:val="-6"/>
                <w:szCs w:val="21"/>
                <w:lang w:eastAsia="ko-KR"/>
              </w:rPr>
              <w:t>회발</w:t>
            </w:r>
            <w:r w:rsidRPr="00285BD9">
              <w:rPr>
                <w:rFonts w:ascii="한컴바탕" w:eastAsia="한컴바탕" w:hAnsi="한컴바탕" w:cs="한컴바탕"/>
                <w:spacing w:val="-6"/>
                <w:szCs w:val="21"/>
                <w:lang w:eastAsia="ko-KR"/>
              </w:rPr>
              <w:t>[2017]3호, 2017년 1월 26일</w:t>
            </w:r>
          </w:p>
          <w:p w:rsidR="00285BD9" w:rsidRPr="00285BD9" w:rsidRDefault="00285BD9" w:rsidP="00285BD9">
            <w:pPr>
              <w:wordWrap w:val="0"/>
              <w:autoSpaceDN w:val="0"/>
              <w:snapToGrid w:val="0"/>
              <w:spacing w:line="290" w:lineRule="atLeast"/>
              <w:jc w:val="left"/>
              <w:rPr>
                <w:rFonts w:ascii="한컴바탕" w:eastAsia="한컴바탕" w:hAnsi="한컴바탕" w:cs="한컴바탕"/>
                <w:spacing w:val="-6"/>
                <w:szCs w:val="21"/>
                <w:lang w:eastAsia="ko-KR"/>
              </w:rPr>
            </w:pPr>
          </w:p>
          <w:p w:rsidR="00285BD9" w:rsidRPr="00285BD9" w:rsidRDefault="00285BD9" w:rsidP="00285BD9">
            <w:pPr>
              <w:wordWrap w:val="0"/>
              <w:autoSpaceDN w:val="0"/>
              <w:snapToGrid w:val="0"/>
              <w:spacing w:line="290" w:lineRule="atLeast"/>
              <w:jc w:val="left"/>
              <w:rPr>
                <w:rFonts w:ascii="한컴바탕" w:eastAsia="한컴바탕" w:hAnsi="한컴바탕" w:cs="한컴바탕"/>
                <w:spacing w:val="-6"/>
                <w:szCs w:val="21"/>
                <w:lang w:eastAsia="ko-KR"/>
              </w:rPr>
            </w:pPr>
            <w:r w:rsidRPr="00285BD9">
              <w:rPr>
                <w:rFonts w:ascii="한컴바탕" w:eastAsia="한컴바탕" w:hAnsi="한컴바탕" w:cs="한컴바탕" w:hint="eastAsia"/>
                <w:spacing w:val="-6"/>
                <w:szCs w:val="21"/>
                <w:lang w:eastAsia="ko-KR"/>
              </w:rPr>
              <w:t>국가외환관리국의</w:t>
            </w:r>
            <w:r w:rsidRPr="00285BD9">
              <w:rPr>
                <w:rFonts w:ascii="한컴바탕" w:eastAsia="한컴바탕" w:hAnsi="한컴바탕" w:cs="한컴바탕"/>
                <w:spacing w:val="-6"/>
                <w:szCs w:val="21"/>
                <w:lang w:eastAsia="ko-KR"/>
              </w:rPr>
              <w:t xml:space="preserve"> 각 성•자차구•직할시 분국•외환관리부, 선전(</w:t>
            </w:r>
            <w:r w:rsidRPr="00285BD9">
              <w:rPr>
                <w:rFonts w:ascii="한컴바탕" w:eastAsia="한컴바탕" w:hAnsi="한컴바탕" w:cs="한컴바탕" w:hint="eastAsia"/>
                <w:spacing w:val="-6"/>
                <w:szCs w:val="21"/>
                <w:lang w:eastAsia="ko-KR"/>
              </w:rPr>
              <w:t>深圳</w:t>
            </w:r>
            <w:r w:rsidRPr="00285BD9">
              <w:rPr>
                <w:rFonts w:ascii="한컴바탕" w:eastAsia="한컴바탕" w:hAnsi="한컴바탕" w:cs="한컴바탕"/>
                <w:spacing w:val="-6"/>
                <w:szCs w:val="21"/>
                <w:lang w:eastAsia="ko-KR"/>
              </w:rPr>
              <w:t>)•다롄(</w:t>
            </w:r>
            <w:r w:rsidRPr="00285BD9">
              <w:rPr>
                <w:rFonts w:ascii="한컴바탕" w:eastAsia="한컴바탕" w:hAnsi="한컴바탕" w:cs="한컴바탕" w:hint="eastAsia"/>
                <w:spacing w:val="-6"/>
                <w:szCs w:val="21"/>
                <w:lang w:eastAsia="ko-KR"/>
              </w:rPr>
              <w:t>大連</w:t>
            </w:r>
            <w:r w:rsidRPr="00285BD9">
              <w:rPr>
                <w:rFonts w:ascii="한컴바탕" w:eastAsia="한컴바탕" w:hAnsi="한컴바탕" w:cs="한컴바탕"/>
                <w:spacing w:val="-6"/>
                <w:szCs w:val="21"/>
                <w:lang w:eastAsia="ko-KR"/>
              </w:rPr>
              <w:t>)•칭다오(</w:t>
            </w:r>
            <w:r w:rsidRPr="00285BD9">
              <w:rPr>
                <w:rFonts w:ascii="한컴바탕" w:eastAsia="한컴바탕" w:hAnsi="한컴바탕" w:cs="한컴바탕" w:hint="eastAsia"/>
                <w:spacing w:val="-6"/>
                <w:szCs w:val="21"/>
                <w:lang w:eastAsia="ko-KR"/>
              </w:rPr>
              <w:t>靑島</w:t>
            </w:r>
            <w:r w:rsidRPr="00285BD9">
              <w:rPr>
                <w:rFonts w:ascii="한컴바탕" w:eastAsia="한컴바탕" w:hAnsi="한컴바탕" w:cs="한컴바탕"/>
                <w:spacing w:val="-6"/>
                <w:szCs w:val="21"/>
                <w:lang w:eastAsia="ko-KR"/>
              </w:rPr>
              <w:t>)•샤먼(</w:t>
            </w:r>
            <w:r w:rsidRPr="00285BD9">
              <w:rPr>
                <w:rFonts w:ascii="한컴바탕" w:eastAsia="한컴바탕" w:hAnsi="한컴바탕" w:cs="한컴바탕" w:hint="eastAsia"/>
                <w:spacing w:val="-6"/>
                <w:szCs w:val="21"/>
                <w:lang w:eastAsia="ko-KR"/>
              </w:rPr>
              <w:t>厦門</w:t>
            </w:r>
            <w:r w:rsidRPr="00285BD9">
              <w:rPr>
                <w:rFonts w:ascii="한컴바탕" w:eastAsia="한컴바탕" w:hAnsi="한컴바탕" w:cs="한컴바탕"/>
                <w:spacing w:val="-6"/>
                <w:szCs w:val="21"/>
                <w:lang w:eastAsia="ko-KR"/>
              </w:rPr>
              <w:t>)•닝보(</w:t>
            </w:r>
            <w:r w:rsidRPr="00285BD9">
              <w:rPr>
                <w:rFonts w:ascii="한컴바탕" w:eastAsia="한컴바탕" w:hAnsi="한컴바탕" w:cs="한컴바탕" w:hint="eastAsia"/>
                <w:spacing w:val="-6"/>
                <w:szCs w:val="21"/>
                <w:lang w:eastAsia="ko-KR"/>
              </w:rPr>
              <w:t>寧波</w:t>
            </w:r>
            <w:r w:rsidRPr="00285BD9">
              <w:rPr>
                <w:rFonts w:ascii="한컴바탕" w:eastAsia="한컴바탕" w:hAnsi="한컴바탕" w:cs="한컴바탕"/>
                <w:spacing w:val="-6"/>
                <w:szCs w:val="21"/>
                <w:lang w:eastAsia="ko-KR"/>
              </w:rPr>
              <w:t>)시 분국, 각 중자(</w:t>
            </w:r>
            <w:r w:rsidRPr="00285BD9">
              <w:rPr>
                <w:rFonts w:ascii="한컴바탕" w:eastAsia="한컴바탕" w:hAnsi="한컴바탕" w:cs="한컴바탕" w:hint="eastAsia"/>
                <w:spacing w:val="-6"/>
                <w:szCs w:val="21"/>
                <w:lang w:eastAsia="ko-KR"/>
              </w:rPr>
              <w:t>中資</w:t>
            </w:r>
            <w:r w:rsidRPr="00285BD9">
              <w:rPr>
                <w:rFonts w:ascii="한컴바탕" w:eastAsia="한컴바탕" w:hAnsi="한컴바탕" w:cs="한컴바탕"/>
                <w:spacing w:val="-6"/>
                <w:szCs w:val="21"/>
                <w:lang w:eastAsia="ko-KR"/>
              </w:rPr>
              <w:t>)외환지정은행 :</w:t>
            </w:r>
          </w:p>
          <w:p w:rsidR="00285BD9" w:rsidRPr="00285BD9" w:rsidRDefault="00285BD9" w:rsidP="00285BD9">
            <w:pPr>
              <w:wordWrap w:val="0"/>
              <w:autoSpaceDN w:val="0"/>
              <w:snapToGrid w:val="0"/>
              <w:spacing w:line="290" w:lineRule="atLeast"/>
              <w:jc w:val="left"/>
              <w:rPr>
                <w:rFonts w:ascii="한컴바탕" w:eastAsia="한컴바탕" w:hAnsi="한컴바탕" w:cs="한컴바탕"/>
                <w:spacing w:val="-6"/>
                <w:szCs w:val="21"/>
                <w:lang w:eastAsia="ko-KR"/>
              </w:rPr>
            </w:pPr>
            <w:r w:rsidRPr="00285BD9">
              <w:rPr>
                <w:rFonts w:ascii="한컴바탕" w:eastAsia="한컴바탕" w:hAnsi="한컴바탕" w:cs="한컴바탕" w:hint="eastAsia"/>
                <w:spacing w:val="-6"/>
                <w:szCs w:val="21"/>
                <w:lang w:eastAsia="ko-KR"/>
              </w:rPr>
              <w:t>외환관리</w:t>
            </w:r>
            <w:r w:rsidRPr="00285BD9">
              <w:rPr>
                <w:rFonts w:ascii="한컴바탕" w:eastAsia="한컴바탕" w:hAnsi="한컴바탕" w:cs="한컴바탕"/>
                <w:spacing w:val="-6"/>
                <w:szCs w:val="21"/>
                <w:lang w:eastAsia="ko-KR"/>
              </w:rPr>
              <w:t xml:space="preserve"> 개혁 및 간정방권(</w:t>
            </w:r>
            <w:r w:rsidRPr="00285BD9">
              <w:rPr>
                <w:rFonts w:ascii="한컴바탕" w:eastAsia="한컴바탕" w:hAnsi="한컴바탕" w:cs="한컴바탕" w:hint="eastAsia"/>
                <w:spacing w:val="-6"/>
                <w:szCs w:val="21"/>
                <w:lang w:eastAsia="ko-KR"/>
              </w:rPr>
              <w:t>簡政放權</w:t>
            </w:r>
            <w:r w:rsidRPr="00285BD9">
              <w:rPr>
                <w:rFonts w:ascii="한컴바탕" w:eastAsia="한컴바탕" w:hAnsi="한컴바탕" w:cs="한컴바탕"/>
                <w:spacing w:val="-6"/>
                <w:szCs w:val="21"/>
                <w:lang w:eastAsia="ko-KR"/>
              </w:rPr>
              <w:t xml:space="preserve">, 행정간소화와 권한이양)을 보다 심도있게 추진하고 실물경제의 발전을 지원하며 무역•투자 원활화를 촉진시키고 거시적•신중 관리 구조하의 자본유통 관리 체계를 구축 및 완비하기 위한 목적으로 관련 조치에 대하여 다음과 같이 통보한다. </w:t>
            </w:r>
          </w:p>
          <w:p w:rsidR="00285BD9" w:rsidRPr="00285BD9" w:rsidRDefault="00285BD9" w:rsidP="00285BD9">
            <w:pPr>
              <w:wordWrap w:val="0"/>
              <w:autoSpaceDN w:val="0"/>
              <w:snapToGrid w:val="0"/>
              <w:spacing w:line="290" w:lineRule="atLeast"/>
              <w:jc w:val="left"/>
              <w:rPr>
                <w:rFonts w:ascii="한컴바탕" w:eastAsia="한컴바탕" w:hAnsi="한컴바탕" w:cs="한컴바탕"/>
                <w:spacing w:val="-6"/>
                <w:szCs w:val="21"/>
                <w:lang w:eastAsia="ko-KR"/>
              </w:rPr>
            </w:pPr>
            <w:r w:rsidRPr="00285BD9">
              <w:rPr>
                <w:rFonts w:ascii="한컴바탕" w:eastAsia="한컴바탕" w:hAnsi="한컴바탕" w:cs="한컴바탕"/>
                <w:spacing w:val="-6"/>
                <w:szCs w:val="21"/>
                <w:lang w:eastAsia="ko-KR"/>
              </w:rPr>
              <w:t>1.</w:t>
            </w:r>
            <w:r w:rsidRPr="00285BD9">
              <w:rPr>
                <w:rFonts w:ascii="한컴바탕" w:eastAsia="한컴바탕" w:hAnsi="한컴바탕" w:cs="한컴바탕"/>
                <w:spacing w:val="-6"/>
                <w:szCs w:val="21"/>
                <w:lang w:eastAsia="ko-KR"/>
              </w:rPr>
              <w:tab/>
              <w:t>국내 외환대출금의 위안화 환전 범위를 확대한다. 화물무역 수출 배경이 있는 국내 외환대출금의 위안화 환전을 허용한다. 국내기구는 화물무역 수출 대금으로 외환대출금을 상환하여야 하며 원칙상 외환을 구매하여 상환하는 것을 허용하지 아니한다.</w:t>
            </w:r>
          </w:p>
          <w:p w:rsidR="00285BD9" w:rsidRPr="00285BD9" w:rsidRDefault="00285BD9" w:rsidP="00285BD9">
            <w:pPr>
              <w:wordWrap w:val="0"/>
              <w:autoSpaceDN w:val="0"/>
              <w:snapToGrid w:val="0"/>
              <w:spacing w:line="290" w:lineRule="atLeast"/>
              <w:jc w:val="left"/>
              <w:rPr>
                <w:rFonts w:ascii="한컴바탕" w:eastAsia="한컴바탕" w:hAnsi="한컴바탕" w:cs="한컴바탕"/>
                <w:spacing w:val="-6"/>
                <w:szCs w:val="21"/>
                <w:lang w:eastAsia="ko-KR"/>
              </w:rPr>
            </w:pPr>
            <w:r w:rsidRPr="00285BD9">
              <w:rPr>
                <w:rFonts w:ascii="한컴바탕" w:eastAsia="한컴바탕" w:hAnsi="한컴바탕" w:cs="한컴바탕"/>
                <w:spacing w:val="-6"/>
                <w:szCs w:val="21"/>
                <w:lang w:eastAsia="ko-KR"/>
              </w:rPr>
              <w:t>2.</w:t>
            </w:r>
            <w:r w:rsidRPr="00285BD9">
              <w:rPr>
                <w:rFonts w:ascii="한컴바탕" w:eastAsia="한컴바탕" w:hAnsi="한컴바탕" w:cs="한컴바탕"/>
                <w:spacing w:val="-6"/>
                <w:szCs w:val="21"/>
                <w:lang w:eastAsia="ko-KR"/>
              </w:rPr>
              <w:tab/>
              <w:t>국내은행담보부 해외차입금을 국내로 회수하여 사용하는 것을 허용한다. 채무자는 국내 자금대출 또는 지분투자 등 방식으로 담보부차입금을 직접적•간접적으로 국내로 회수하여 사용할 수 있다. 은행이 국내은행담보부 해외차입의 담보책임을 이행하는 상황이 발생하는 경우 관련 외환결제는 은행 자체의 외환결제 관리에 포함시킨다.</w:t>
            </w:r>
          </w:p>
          <w:p w:rsidR="00285BD9" w:rsidRPr="00285BD9" w:rsidRDefault="00285BD9" w:rsidP="00285BD9">
            <w:pPr>
              <w:wordWrap w:val="0"/>
              <w:autoSpaceDN w:val="0"/>
              <w:snapToGrid w:val="0"/>
              <w:spacing w:line="290" w:lineRule="atLeast"/>
              <w:jc w:val="left"/>
              <w:rPr>
                <w:rFonts w:ascii="한컴바탕" w:eastAsia="한컴바탕" w:hAnsi="한컴바탕" w:cs="한컴바탕"/>
                <w:spacing w:val="-6"/>
                <w:szCs w:val="21"/>
                <w:lang w:eastAsia="ko-KR"/>
              </w:rPr>
            </w:pPr>
            <w:r w:rsidRPr="00285BD9">
              <w:rPr>
                <w:rFonts w:ascii="한컴바탕" w:eastAsia="한컴바탕" w:hAnsi="한컴바탕" w:cs="한컴바탕"/>
                <w:spacing w:val="-6"/>
                <w:szCs w:val="21"/>
                <w:lang w:eastAsia="ko-KR"/>
              </w:rPr>
              <w:t>3.</w:t>
            </w:r>
            <w:r w:rsidRPr="00285BD9">
              <w:rPr>
                <w:rFonts w:ascii="한컴바탕" w:eastAsia="한컴바탕" w:hAnsi="한컴바탕" w:cs="한컴바탕"/>
                <w:spacing w:val="-6"/>
                <w:szCs w:val="21"/>
                <w:lang w:eastAsia="ko-KR"/>
              </w:rPr>
              <w:tab/>
              <w:t>다국적기업의 외환자금 집중운영 관리 원활화를 진일보 추진한다. 국내은행이 국제외환자금 주계정을 통해 흡수한 예금은 거시적•신중 관리의 원칙에 따라 그 국내운용가능비율의 상한을 직전 6개월 일평균 예금잔고의 50%에서 100%로 조정하며 국내운용자금은 은행의 단기외채 잔고 지표를 점용하지 아니한다.</w:t>
            </w:r>
          </w:p>
          <w:p w:rsidR="00285BD9" w:rsidRPr="00285BD9" w:rsidRDefault="00285BD9" w:rsidP="00285BD9">
            <w:pPr>
              <w:wordWrap w:val="0"/>
              <w:autoSpaceDN w:val="0"/>
              <w:snapToGrid w:val="0"/>
              <w:spacing w:line="290" w:lineRule="atLeast"/>
              <w:jc w:val="left"/>
              <w:rPr>
                <w:rFonts w:ascii="한컴바탕" w:eastAsia="한컴바탕" w:hAnsi="한컴바탕" w:cs="한컴바탕"/>
                <w:spacing w:val="-8"/>
                <w:szCs w:val="21"/>
                <w:lang w:eastAsia="ko-KR"/>
              </w:rPr>
            </w:pPr>
            <w:r w:rsidRPr="00285BD9">
              <w:rPr>
                <w:rFonts w:ascii="한컴바탕" w:eastAsia="한컴바탕" w:hAnsi="한컴바탕" w:cs="한컴바탕"/>
                <w:spacing w:val="-6"/>
                <w:szCs w:val="21"/>
                <w:lang w:eastAsia="ko-KR"/>
              </w:rPr>
              <w:t>4.</w:t>
            </w:r>
            <w:r w:rsidRPr="00285BD9">
              <w:rPr>
                <w:rFonts w:ascii="한컴바탕" w:eastAsia="한컴바탕" w:hAnsi="한컴바탕" w:cs="한컴바탕"/>
                <w:spacing w:val="-6"/>
                <w:szCs w:val="21"/>
                <w:lang w:eastAsia="ko-KR"/>
              </w:rPr>
              <w:tab/>
            </w:r>
            <w:r w:rsidRPr="00285BD9">
              <w:rPr>
                <w:rFonts w:ascii="한컴바탕" w:eastAsia="한컴바탕" w:hAnsi="한컴바탕" w:cs="한컴바탕"/>
                <w:spacing w:val="-8"/>
                <w:szCs w:val="21"/>
                <w:lang w:eastAsia="ko-KR"/>
              </w:rPr>
              <w:t>자유무역시범구 내 해외기구의 국내 외환계정 위안화 환전을 허용한다. 위안화로 환전한 후 국내로 송금하여 사용하는 경우 국내은행은 다국적거래 관련 규정에 따라 국내 기구•개인의 유효한 상업 증표•증빙을 심사한 후 처리하여야 한다.</w:t>
            </w:r>
          </w:p>
          <w:p w:rsidR="00285BD9" w:rsidRPr="00285BD9" w:rsidRDefault="00285BD9" w:rsidP="00285BD9">
            <w:pPr>
              <w:wordWrap w:val="0"/>
              <w:autoSpaceDN w:val="0"/>
              <w:snapToGrid w:val="0"/>
              <w:spacing w:line="290" w:lineRule="atLeast"/>
              <w:jc w:val="left"/>
              <w:rPr>
                <w:rFonts w:ascii="한컴바탕" w:eastAsia="한컴바탕" w:hAnsi="한컴바탕" w:cs="한컴바탕"/>
                <w:spacing w:val="-6"/>
                <w:szCs w:val="21"/>
                <w:lang w:eastAsia="ko-KR"/>
              </w:rPr>
            </w:pPr>
            <w:r w:rsidRPr="00285BD9">
              <w:rPr>
                <w:rFonts w:ascii="한컴바탕" w:eastAsia="한컴바탕" w:hAnsi="한컴바탕" w:cs="한컴바탕"/>
                <w:spacing w:val="-6"/>
                <w:szCs w:val="21"/>
                <w:lang w:eastAsia="ko-KR"/>
              </w:rPr>
              <w:t>5.</w:t>
            </w:r>
            <w:r w:rsidRPr="00285BD9">
              <w:rPr>
                <w:rFonts w:ascii="한컴바탕" w:eastAsia="한컴바탕" w:hAnsi="한컴바탕" w:cs="한컴바탕"/>
                <w:spacing w:val="-6"/>
                <w:szCs w:val="21"/>
                <w:lang w:eastAsia="ko-KR"/>
              </w:rPr>
              <w:tab/>
              <w:t>화물무역 외환 관리를 진일보 규범화한다. 외환관리국의 별도 규정이 있는 경우를 제외하고, 국내기구는 '수출하는 자가 대금을 수취하고, 수입하는 자가 대금을 지급하는' 원칙에 따라 국제무역 외환 수취•지급 업무를 적시에 처리하여</w:t>
            </w:r>
            <w:r w:rsidRPr="00285BD9">
              <w:rPr>
                <w:rFonts w:ascii="한컴바탕" w:eastAsia="한컴바탕" w:hAnsi="한컴바탕" w:cs="한컴바탕"/>
                <w:spacing w:val="-6"/>
                <w:szCs w:val="21"/>
                <w:lang w:eastAsia="ko-KR"/>
              </w:rPr>
              <w:lastRenderedPageBreak/>
              <w:t>야 한다.</w:t>
            </w:r>
          </w:p>
          <w:p w:rsidR="00285BD9" w:rsidRPr="00285BD9" w:rsidRDefault="00285BD9" w:rsidP="00285BD9">
            <w:pPr>
              <w:wordWrap w:val="0"/>
              <w:autoSpaceDN w:val="0"/>
              <w:snapToGrid w:val="0"/>
              <w:spacing w:line="290" w:lineRule="atLeast"/>
              <w:jc w:val="left"/>
              <w:rPr>
                <w:rFonts w:ascii="한컴바탕" w:eastAsia="한컴바탕" w:hAnsi="한컴바탕" w:cs="한컴바탕"/>
                <w:spacing w:val="-8"/>
                <w:szCs w:val="21"/>
                <w:lang w:eastAsia="ko-KR"/>
              </w:rPr>
            </w:pPr>
            <w:r w:rsidRPr="00285BD9">
              <w:rPr>
                <w:rFonts w:ascii="한컴바탕" w:eastAsia="한컴바탕" w:hAnsi="한컴바탕" w:cs="한컴바탕"/>
                <w:spacing w:val="-6"/>
                <w:szCs w:val="21"/>
                <w:lang w:eastAsia="ko-KR"/>
              </w:rPr>
              <w:t>6.</w:t>
            </w:r>
            <w:r w:rsidRPr="00285BD9">
              <w:rPr>
                <w:rFonts w:ascii="한컴바탕" w:eastAsia="한컴바탕" w:hAnsi="한컴바탕" w:cs="한컴바탕"/>
                <w:spacing w:val="-6"/>
                <w:szCs w:val="21"/>
                <w:lang w:eastAsia="ko-KR"/>
              </w:rPr>
              <w:tab/>
            </w:r>
            <w:r w:rsidRPr="00285BD9">
              <w:rPr>
                <w:rFonts w:ascii="한컴바탕" w:eastAsia="한컴바탕" w:hAnsi="한컴바탕" w:cs="한컴바탕"/>
                <w:spacing w:val="-8"/>
                <w:szCs w:val="21"/>
                <w:lang w:eastAsia="ko-KR"/>
              </w:rPr>
              <w:t>경상항목하의 외환수입 해외 유보에 대한 통계를 강화한다. 국내기구가 다양한 사유로 수출 수입(</w:t>
            </w:r>
            <w:r w:rsidRPr="00285BD9">
              <w:rPr>
                <w:rFonts w:ascii="한컴바탕" w:eastAsia="한컴바탕" w:hAnsi="한컴바탕" w:cs="한컴바탕" w:hint="eastAsia"/>
                <w:spacing w:val="-8"/>
                <w:szCs w:val="21"/>
                <w:lang w:eastAsia="ko-KR"/>
              </w:rPr>
              <w:t>收入</w:t>
            </w:r>
            <w:r w:rsidRPr="00285BD9">
              <w:rPr>
                <w:rFonts w:ascii="한컴바탕" w:eastAsia="한컴바탕" w:hAnsi="한컴바탕" w:cs="한컴바탕"/>
                <w:spacing w:val="-8"/>
                <w:szCs w:val="21"/>
                <w:lang w:eastAsia="ko-KR"/>
              </w:rPr>
              <w:t>) 또는 서비스 무역 수입(</w:t>
            </w:r>
            <w:r w:rsidRPr="00285BD9">
              <w:rPr>
                <w:rFonts w:ascii="한컴바탕" w:eastAsia="한컴바탕" w:hAnsi="한컴바탕" w:cs="한컴바탕" w:hint="eastAsia"/>
                <w:spacing w:val="-8"/>
                <w:szCs w:val="21"/>
                <w:lang w:eastAsia="ko-KR"/>
              </w:rPr>
              <w:t>收入</w:t>
            </w:r>
            <w:r w:rsidRPr="00285BD9">
              <w:rPr>
                <w:rFonts w:ascii="한컴바탕" w:eastAsia="한컴바탕" w:hAnsi="한컴바탕" w:cs="한컴바탕"/>
                <w:spacing w:val="-8"/>
                <w:szCs w:val="21"/>
                <w:lang w:eastAsia="ko-KR"/>
              </w:rPr>
              <w:t>)을 해외에 유보하였으나 &lt;국가외환관리국의 화물무역 외환관리 법규 인쇄발부 관련 문제에 관한 통지&gt;(회발[2012]38호), &lt;국가외환관리국의 서비스 무역 외환관리 법규 인쇄발부에 관한 통지&gt;(회발[2013]30호) 등에 따라 외환관리 관련 등기•비안(</w:t>
            </w:r>
            <w:r w:rsidRPr="00285BD9">
              <w:rPr>
                <w:rFonts w:ascii="한컴바탕" w:eastAsia="한컴바탕" w:hAnsi="한컴바탕" w:cs="한컴바탕" w:hint="eastAsia"/>
                <w:spacing w:val="-8"/>
                <w:szCs w:val="21"/>
                <w:lang w:eastAsia="ko-KR"/>
              </w:rPr>
              <w:t>備案</w:t>
            </w:r>
            <w:r w:rsidRPr="00285BD9">
              <w:rPr>
                <w:rFonts w:ascii="한컴바탕" w:eastAsia="한컴바탕" w:hAnsi="한컴바탕" w:cs="한컴바탕"/>
                <w:spacing w:val="-8"/>
                <w:szCs w:val="21"/>
                <w:lang w:eastAsia="ko-KR"/>
              </w:rPr>
              <w:t>) 수속을 이행하지 아니하였거나 정보를 보고하지 아니한 경우 이 통지가 공표된 날로부터 1개월 내에 자발적으로 관련 정보를 보고하여야 한다.</w:t>
            </w:r>
          </w:p>
          <w:p w:rsidR="00285BD9" w:rsidRPr="00285BD9" w:rsidRDefault="00285BD9" w:rsidP="00285BD9">
            <w:pPr>
              <w:wordWrap w:val="0"/>
              <w:autoSpaceDN w:val="0"/>
              <w:snapToGrid w:val="0"/>
              <w:spacing w:line="290" w:lineRule="atLeast"/>
              <w:jc w:val="left"/>
              <w:rPr>
                <w:rFonts w:ascii="한컴바탕" w:eastAsia="한컴바탕" w:hAnsi="한컴바탕" w:cs="한컴바탕"/>
                <w:spacing w:val="-6"/>
                <w:szCs w:val="21"/>
                <w:lang w:eastAsia="ko-KR"/>
              </w:rPr>
            </w:pPr>
            <w:r w:rsidRPr="00285BD9">
              <w:rPr>
                <w:rFonts w:ascii="한컴바탕" w:eastAsia="한컴바탕" w:hAnsi="한컴바탕" w:cs="한컴바탕"/>
                <w:spacing w:val="-6"/>
                <w:szCs w:val="21"/>
                <w:lang w:eastAsia="ko-KR"/>
              </w:rPr>
              <w:t>7.</w:t>
            </w:r>
            <w:r w:rsidRPr="00285BD9">
              <w:rPr>
                <w:rFonts w:ascii="한컴바탕" w:eastAsia="한컴바탕" w:hAnsi="한컴바탕" w:cs="한컴바탕"/>
                <w:spacing w:val="-6"/>
                <w:szCs w:val="21"/>
                <w:lang w:eastAsia="ko-KR"/>
              </w:rPr>
              <w:tab/>
              <w:t>직접투자 외환 이윤 해외송금 관리 정책을 지속적으로 집행 및 개선한다. 국내기구를 위하여 미화 5만달러 이상(5만달러 불포함)의 이윤 해외송금 업무를 처리하는 은행은 진실거래의 원칙에 따라 해외로 송금되는 해당 이윤과 관련된 이사회 이익배당 결의서(또는 조합원 이익배당 결의서), 세무비안(</w:t>
            </w:r>
            <w:r w:rsidRPr="00285BD9">
              <w:rPr>
                <w:rFonts w:ascii="한컴바탕" w:eastAsia="한컴바탕" w:hAnsi="한컴바탕" w:cs="한컴바탕" w:hint="eastAsia"/>
                <w:spacing w:val="-6"/>
                <w:szCs w:val="21"/>
                <w:lang w:eastAsia="ko-KR"/>
              </w:rPr>
              <w:t>備案</w:t>
            </w:r>
            <w:r w:rsidRPr="00285BD9">
              <w:rPr>
                <w:rFonts w:ascii="한컴바탕" w:eastAsia="한컴바탕" w:hAnsi="한컴바탕" w:cs="한컴바탕"/>
                <w:spacing w:val="-6"/>
                <w:szCs w:val="21"/>
                <w:lang w:eastAsia="ko-KR"/>
              </w:rPr>
              <w:t>)표 원본, 회계감사를 거친 재무제표를 심사하여야 하며 이와 더불어 관련 세무비안(</w:t>
            </w:r>
            <w:r w:rsidRPr="00285BD9">
              <w:rPr>
                <w:rFonts w:ascii="한컴바탕" w:eastAsia="한컴바탕" w:hAnsi="한컴바탕" w:cs="한컴바탕" w:hint="eastAsia"/>
                <w:spacing w:val="-6"/>
                <w:szCs w:val="21"/>
                <w:lang w:eastAsia="ko-KR"/>
              </w:rPr>
              <w:t>備案</w:t>
            </w:r>
            <w:r w:rsidRPr="00285BD9">
              <w:rPr>
                <w:rFonts w:ascii="한컴바탕" w:eastAsia="한컴바탕" w:hAnsi="한컴바탕" w:cs="한컴바탕"/>
                <w:spacing w:val="-6"/>
                <w:szCs w:val="21"/>
                <w:lang w:eastAsia="ko-KR"/>
              </w:rPr>
              <w:t>)표 원본에 도장을 날인하고 송금금액과 송금일자를 기재하여야 한다. 국내기</w:t>
            </w:r>
            <w:r w:rsidRPr="00285BD9">
              <w:rPr>
                <w:rFonts w:ascii="한컴바탕" w:eastAsia="한컴바탕" w:hAnsi="한컴바탕" w:cs="한컴바탕" w:hint="eastAsia"/>
                <w:spacing w:val="-6"/>
                <w:szCs w:val="21"/>
                <w:lang w:eastAsia="ko-KR"/>
              </w:rPr>
              <w:t>구는</w:t>
            </w:r>
            <w:r w:rsidRPr="00285BD9">
              <w:rPr>
                <w:rFonts w:ascii="한컴바탕" w:eastAsia="한컴바탕" w:hAnsi="한컴바탕" w:cs="한컴바탕"/>
                <w:spacing w:val="-6"/>
                <w:szCs w:val="21"/>
                <w:lang w:eastAsia="ko-KR"/>
              </w:rPr>
              <w:t xml:space="preserve"> 이윤을 해외로 송금하기에 앞서 법에 따라 과거 연도의 적자를 보전하여야 한다.</w:t>
            </w:r>
          </w:p>
          <w:p w:rsidR="00285BD9" w:rsidRPr="00285BD9" w:rsidRDefault="00285BD9" w:rsidP="00285BD9">
            <w:pPr>
              <w:wordWrap w:val="0"/>
              <w:autoSpaceDN w:val="0"/>
              <w:snapToGrid w:val="0"/>
              <w:spacing w:line="290" w:lineRule="atLeast"/>
              <w:jc w:val="left"/>
              <w:rPr>
                <w:rFonts w:ascii="한컴바탕" w:eastAsia="한컴바탕" w:hAnsi="한컴바탕" w:cs="한컴바탕"/>
                <w:spacing w:val="-8"/>
                <w:szCs w:val="21"/>
                <w:lang w:eastAsia="ko-KR"/>
              </w:rPr>
            </w:pPr>
            <w:r w:rsidRPr="00285BD9">
              <w:rPr>
                <w:rFonts w:ascii="한컴바탕" w:eastAsia="한컴바탕" w:hAnsi="한컴바탕" w:cs="한컴바탕"/>
                <w:spacing w:val="-6"/>
                <w:szCs w:val="21"/>
                <w:lang w:eastAsia="ko-KR"/>
              </w:rPr>
              <w:t>8.</w:t>
            </w:r>
            <w:r w:rsidRPr="00285BD9">
              <w:rPr>
                <w:rFonts w:ascii="한컴바탕" w:eastAsia="한컴바탕" w:hAnsi="한컴바탕" w:cs="한컴바탕"/>
                <w:spacing w:val="-6"/>
                <w:szCs w:val="21"/>
                <w:lang w:eastAsia="ko-KR"/>
              </w:rPr>
              <w:tab/>
            </w:r>
            <w:r w:rsidRPr="00285BD9">
              <w:rPr>
                <w:rFonts w:ascii="한컴바탕" w:eastAsia="한컴바탕" w:hAnsi="한컴바탕" w:cs="한컴바탕"/>
                <w:spacing w:val="-8"/>
                <w:szCs w:val="21"/>
                <w:lang w:eastAsia="ko-KR"/>
              </w:rPr>
              <w:t>해외직접투자의 진실성•적법성에 대한 심사를 강화한다. 해외집적투자 등기 및 투자금 송금 수속을 이행하는 국내기구는 규정에 따라 심사서류를 제출하는 것 외에 추가로 투자자금의 출처와 용도(사용계획)를 은행에 설명하고 이사회결의서(또는 조합원결의서)•계약서 또는 기타 진실성 증명서류를 은행에 제출하여야 한다. 은행은 업무전개 원칙에 따라 진실성•적법성 심사를 강화한다.</w:t>
            </w:r>
          </w:p>
          <w:p w:rsidR="00285BD9" w:rsidRPr="00285BD9" w:rsidRDefault="00285BD9" w:rsidP="00285BD9">
            <w:pPr>
              <w:wordWrap w:val="0"/>
              <w:autoSpaceDN w:val="0"/>
              <w:snapToGrid w:val="0"/>
              <w:spacing w:line="290" w:lineRule="atLeast"/>
              <w:jc w:val="left"/>
              <w:rPr>
                <w:rFonts w:ascii="한컴바탕" w:eastAsia="한컴바탕" w:hAnsi="한컴바탕" w:cs="한컴바탕"/>
                <w:spacing w:val="-6"/>
                <w:szCs w:val="21"/>
                <w:lang w:eastAsia="ko-KR"/>
              </w:rPr>
            </w:pPr>
            <w:r w:rsidRPr="00285BD9">
              <w:rPr>
                <w:rFonts w:ascii="한컴바탕" w:eastAsia="한컴바탕" w:hAnsi="한컴바탕" w:cs="한컴바탕"/>
                <w:spacing w:val="-6"/>
                <w:szCs w:val="21"/>
                <w:lang w:eastAsia="ko-KR"/>
              </w:rPr>
              <w:t>9.</w:t>
            </w:r>
            <w:r w:rsidRPr="00285BD9">
              <w:rPr>
                <w:rFonts w:ascii="한컴바탕" w:eastAsia="한컴바탕" w:hAnsi="한컴바탕" w:cs="한컴바탕"/>
                <w:spacing w:val="-6"/>
                <w:szCs w:val="21"/>
                <w:lang w:eastAsia="ko-KR"/>
              </w:rPr>
              <w:tab/>
              <w:t>내국환•외국환 해외 자금대출에 대한 전방위적 관리를 실시한다. 해외 자금대출 업무를 취급하는 국내기구의 내국환 해외대출 잔고와 외국환 해외대출 잔고의 합계가 회계감사를 거친 그의 직전연도 재무제표에 반영된 소유자권익의 30%를 초과하여서는 아니된다.</w:t>
            </w:r>
          </w:p>
          <w:p w:rsidR="00285BD9" w:rsidRPr="00285BD9" w:rsidRDefault="00285BD9" w:rsidP="00285BD9">
            <w:pPr>
              <w:wordWrap w:val="0"/>
              <w:autoSpaceDN w:val="0"/>
              <w:snapToGrid w:val="0"/>
              <w:spacing w:line="290" w:lineRule="atLeast"/>
              <w:jc w:val="left"/>
              <w:rPr>
                <w:rFonts w:ascii="한컴바탕" w:eastAsia="한컴바탕" w:hAnsi="한컴바탕" w:cs="한컴바탕"/>
                <w:spacing w:val="-6"/>
                <w:szCs w:val="21"/>
                <w:lang w:eastAsia="ko-KR"/>
              </w:rPr>
            </w:pPr>
            <w:r w:rsidRPr="00285BD9">
              <w:rPr>
                <w:rFonts w:ascii="한컴바탕" w:eastAsia="한컴바탕" w:hAnsi="한컴바탕" w:cs="한컴바탕"/>
                <w:spacing w:val="-6"/>
                <w:szCs w:val="21"/>
                <w:lang w:eastAsia="ko-KR"/>
              </w:rPr>
              <w:t>10.</w:t>
            </w:r>
            <w:r w:rsidRPr="00285BD9">
              <w:rPr>
                <w:rFonts w:ascii="한컴바탕" w:eastAsia="한컴바탕" w:hAnsi="한컴바탕" w:cs="한컴바탕"/>
                <w:spacing w:val="-6"/>
                <w:szCs w:val="21"/>
                <w:lang w:eastAsia="ko-KR"/>
              </w:rPr>
              <w:tab/>
              <w:t>이 통지의 규정을 위반하는 경우 외환관리국이 &lt;중화인민공화국 외환관리조례&gt;에 근거하여 처벌을 내린다.</w:t>
            </w:r>
          </w:p>
          <w:p w:rsidR="00285BD9" w:rsidRPr="00285BD9" w:rsidRDefault="00285BD9" w:rsidP="00285BD9">
            <w:pPr>
              <w:wordWrap w:val="0"/>
              <w:autoSpaceDN w:val="0"/>
              <w:snapToGrid w:val="0"/>
              <w:spacing w:line="290" w:lineRule="atLeast"/>
              <w:jc w:val="left"/>
              <w:rPr>
                <w:rFonts w:ascii="한컴바탕" w:eastAsia="한컴바탕" w:hAnsi="한컴바탕" w:cs="한컴바탕"/>
                <w:spacing w:val="-6"/>
                <w:szCs w:val="21"/>
                <w:lang w:eastAsia="ko-KR"/>
              </w:rPr>
            </w:pPr>
            <w:r w:rsidRPr="00285BD9">
              <w:rPr>
                <w:rFonts w:ascii="한컴바탕" w:eastAsia="한컴바탕" w:hAnsi="한컴바탕" w:cs="한컴바탕"/>
                <w:spacing w:val="-6"/>
                <w:szCs w:val="21"/>
                <w:lang w:eastAsia="ko-KR"/>
              </w:rPr>
              <w:t>11.</w:t>
            </w:r>
            <w:r w:rsidRPr="00285BD9">
              <w:rPr>
                <w:rFonts w:ascii="한컴바탕" w:eastAsia="한컴바탕" w:hAnsi="한컴바탕" w:cs="한컴바탕"/>
                <w:spacing w:val="-6"/>
                <w:szCs w:val="21"/>
                <w:lang w:eastAsia="ko-KR"/>
              </w:rPr>
              <w:tab/>
              <w:t>이 통지는 공표일로부터 시행하며 국가외환관리국이 책임지고 해석한다. 외환관리국은 정책 실시 효과에 대한 정기 평가를 실시하고 국제수지 형세에 근거하여 정책을 조정한다. 이 통지가 공표되기 전의 규정이 이 통지의 내용과 상충</w:t>
            </w:r>
            <w:r w:rsidRPr="00285BD9">
              <w:rPr>
                <w:rFonts w:ascii="한컴바탕" w:eastAsia="한컴바탕" w:hAnsi="한컴바탕" w:cs="한컴바탕"/>
                <w:spacing w:val="-6"/>
                <w:szCs w:val="21"/>
                <w:lang w:eastAsia="ko-KR"/>
              </w:rPr>
              <w:lastRenderedPageBreak/>
              <w:t>되는 경우 이 통지의 내용을 기준으로 한다.</w:t>
            </w:r>
          </w:p>
          <w:p w:rsidR="00F6633C" w:rsidRPr="00285BD9" w:rsidRDefault="00285BD9" w:rsidP="00285BD9">
            <w:pPr>
              <w:wordWrap w:val="0"/>
              <w:autoSpaceDN w:val="0"/>
              <w:snapToGrid w:val="0"/>
              <w:spacing w:line="290" w:lineRule="atLeast"/>
              <w:jc w:val="left"/>
              <w:rPr>
                <w:rFonts w:ascii="한컴바탕" w:eastAsia="한컴바탕" w:hAnsi="한컴바탕" w:cs="한컴바탕"/>
                <w:spacing w:val="-6"/>
                <w:szCs w:val="21"/>
                <w:lang w:eastAsia="ko-KR"/>
              </w:rPr>
            </w:pPr>
            <w:r w:rsidRPr="00285BD9">
              <w:rPr>
                <w:rFonts w:ascii="한컴바탕" w:eastAsia="한컴바탕" w:hAnsi="한컴바탕" w:cs="한컴바탕" w:hint="eastAsia"/>
                <w:spacing w:val="-6"/>
                <w:szCs w:val="21"/>
                <w:lang w:eastAsia="ko-KR"/>
              </w:rPr>
              <w:t>각</w:t>
            </w:r>
            <w:r w:rsidRPr="00285BD9">
              <w:rPr>
                <w:rFonts w:ascii="한컴바탕" w:eastAsia="한컴바탕" w:hAnsi="한컴바탕" w:cs="한컴바탕"/>
                <w:spacing w:val="-6"/>
                <w:szCs w:val="21"/>
                <w:lang w:eastAsia="ko-KR"/>
              </w:rPr>
              <w:t xml:space="preserve"> 분국•외환관리부는 이 통지를 접한 후 최대한 신속히 그의 관할 범위 내에 있는 중심지국•지국 및 외환지정은행에 전달하여야 하며 통지 사항을 엄격히 집행하여야 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85BD9" w:rsidRPr="00285BD9" w:rsidRDefault="00285BD9" w:rsidP="00285BD9">
            <w:pPr>
              <w:wordWrap w:val="0"/>
              <w:autoSpaceDE w:val="0"/>
              <w:autoSpaceDN w:val="0"/>
              <w:snapToGrid w:val="0"/>
              <w:spacing w:line="290" w:lineRule="atLeast"/>
              <w:jc w:val="center"/>
              <w:rPr>
                <w:rFonts w:ascii="SimSun" w:eastAsia="SimSun" w:hAnsi="SimSun"/>
                <w:b/>
                <w:spacing w:val="-6"/>
                <w:sz w:val="26"/>
                <w:szCs w:val="26"/>
              </w:rPr>
            </w:pPr>
            <w:r w:rsidRPr="00285BD9">
              <w:rPr>
                <w:rFonts w:ascii="SimSun" w:eastAsia="SimSun" w:hAnsi="SimSun" w:hint="eastAsia"/>
                <w:b/>
                <w:spacing w:val="-6"/>
                <w:sz w:val="26"/>
                <w:szCs w:val="26"/>
              </w:rPr>
              <w:t>国家外汇管理局关于进一步推进外汇管理改革完善真实合规性审核的通知</w:t>
            </w:r>
          </w:p>
          <w:p w:rsidR="00285BD9" w:rsidRPr="00285BD9" w:rsidRDefault="00285BD9" w:rsidP="00285BD9">
            <w:pPr>
              <w:wordWrap w:val="0"/>
              <w:autoSpaceDE w:val="0"/>
              <w:autoSpaceDN w:val="0"/>
              <w:snapToGrid w:val="0"/>
              <w:spacing w:line="290" w:lineRule="atLeast"/>
              <w:jc w:val="center"/>
              <w:rPr>
                <w:rFonts w:ascii="SimSun" w:eastAsia="SimSun" w:hAnsi="SimSun"/>
                <w:szCs w:val="21"/>
              </w:rPr>
            </w:pPr>
            <w:r w:rsidRPr="00285BD9">
              <w:rPr>
                <w:rFonts w:ascii="SimSun" w:eastAsia="SimSun" w:hAnsi="SimSun" w:hint="eastAsia"/>
                <w:szCs w:val="21"/>
              </w:rPr>
              <w:t>汇发〔</w:t>
            </w:r>
            <w:r w:rsidRPr="00285BD9">
              <w:rPr>
                <w:rFonts w:ascii="SimSun" w:eastAsia="SimSun" w:hAnsi="SimSun"/>
                <w:szCs w:val="21"/>
              </w:rPr>
              <w:t>2017〕3</w:t>
            </w:r>
            <w:r w:rsidRPr="00285BD9">
              <w:rPr>
                <w:rFonts w:ascii="SimSun" w:eastAsia="SimSun" w:hAnsi="SimSun" w:hint="eastAsia"/>
                <w:szCs w:val="21"/>
              </w:rPr>
              <w:t>号，</w:t>
            </w:r>
            <w:r w:rsidRPr="00285BD9">
              <w:rPr>
                <w:rFonts w:ascii="SimSun" w:eastAsia="SimSun" w:hAnsi="SimSun"/>
                <w:szCs w:val="21"/>
              </w:rPr>
              <w:t>2017</w:t>
            </w:r>
            <w:r w:rsidRPr="00285BD9">
              <w:rPr>
                <w:rFonts w:ascii="SimSun" w:eastAsia="SimSun" w:hAnsi="SimSun" w:hint="eastAsia"/>
                <w:szCs w:val="21"/>
              </w:rPr>
              <w:t>年</w:t>
            </w:r>
            <w:r w:rsidRPr="00285BD9">
              <w:rPr>
                <w:rFonts w:ascii="SimSun" w:eastAsia="SimSun" w:hAnsi="SimSun"/>
                <w:szCs w:val="21"/>
              </w:rPr>
              <w:t>1</w:t>
            </w:r>
            <w:r w:rsidRPr="00285BD9">
              <w:rPr>
                <w:rFonts w:ascii="SimSun" w:eastAsia="SimSun" w:hAnsi="SimSun" w:hint="eastAsia"/>
                <w:szCs w:val="21"/>
              </w:rPr>
              <w:t>月</w:t>
            </w:r>
            <w:r w:rsidRPr="00285BD9">
              <w:rPr>
                <w:rFonts w:ascii="SimSun" w:eastAsia="SimSun" w:hAnsi="SimSun"/>
                <w:szCs w:val="21"/>
              </w:rPr>
              <w:t>26</w:t>
            </w:r>
            <w:r w:rsidRPr="00285BD9">
              <w:rPr>
                <w:rFonts w:ascii="SimSun" w:eastAsia="SimSun" w:hAnsi="SimSun" w:hint="eastAsia"/>
                <w:szCs w:val="21"/>
              </w:rPr>
              <w:t>日</w:t>
            </w:r>
          </w:p>
          <w:p w:rsidR="00285BD9" w:rsidRPr="00285BD9" w:rsidRDefault="00285BD9" w:rsidP="00285BD9">
            <w:pPr>
              <w:wordWrap w:val="0"/>
              <w:autoSpaceDE w:val="0"/>
              <w:autoSpaceDN w:val="0"/>
              <w:snapToGrid w:val="0"/>
              <w:spacing w:line="290" w:lineRule="atLeast"/>
              <w:rPr>
                <w:rFonts w:ascii="SimSun" w:hAnsi="SimSun" w:hint="eastAsia"/>
                <w:szCs w:val="21"/>
                <w:lang w:eastAsia="ko-KR"/>
              </w:rPr>
            </w:pPr>
          </w:p>
          <w:p w:rsidR="00285BD9" w:rsidRPr="00285BD9" w:rsidRDefault="00285BD9" w:rsidP="00285BD9">
            <w:pPr>
              <w:wordWrap w:val="0"/>
              <w:autoSpaceDE w:val="0"/>
              <w:autoSpaceDN w:val="0"/>
              <w:snapToGrid w:val="0"/>
              <w:spacing w:line="290" w:lineRule="atLeast"/>
              <w:rPr>
                <w:rFonts w:ascii="SimSun" w:eastAsia="SimSun" w:hAnsi="SimSun"/>
                <w:szCs w:val="21"/>
              </w:rPr>
            </w:pPr>
            <w:r w:rsidRPr="00285BD9">
              <w:rPr>
                <w:rFonts w:ascii="SimSun" w:eastAsia="SimSun" w:hAnsi="SimSun" w:hint="eastAsia"/>
                <w:szCs w:val="21"/>
              </w:rPr>
              <w:t>国家外汇管理局各省、自治区、直辖市分局、外汇管理部，深圳、大连、青岛、厦门、宁波市分局，各中资外汇指定银行：</w:t>
            </w:r>
          </w:p>
          <w:p w:rsidR="00285BD9" w:rsidRPr="00285BD9" w:rsidRDefault="00285BD9" w:rsidP="00285BD9">
            <w:pPr>
              <w:wordWrap w:val="0"/>
              <w:autoSpaceDE w:val="0"/>
              <w:autoSpaceDN w:val="0"/>
              <w:snapToGrid w:val="0"/>
              <w:spacing w:line="290" w:lineRule="atLeast"/>
              <w:rPr>
                <w:rFonts w:ascii="SimSun" w:eastAsia="SimSun" w:hAnsi="SimSun"/>
                <w:spacing w:val="20"/>
                <w:szCs w:val="21"/>
              </w:rPr>
            </w:pPr>
            <w:r w:rsidRPr="00285BD9">
              <w:rPr>
                <w:rFonts w:ascii="SimSun" w:eastAsia="SimSun" w:hAnsi="SimSun" w:hint="eastAsia"/>
                <w:spacing w:val="20"/>
                <w:szCs w:val="21"/>
              </w:rPr>
              <w:t>为进一步深入推进外汇管理改革，简政放权，支持实体经济发展，促进贸易投资便利化，建立健全宏观审慎管理框架下的资本流动管理体系，现就有关措施通知如下：</w:t>
            </w:r>
          </w:p>
          <w:p w:rsidR="00285BD9" w:rsidRPr="00285BD9" w:rsidRDefault="00285BD9" w:rsidP="00285BD9">
            <w:pPr>
              <w:wordWrap w:val="0"/>
              <w:autoSpaceDE w:val="0"/>
              <w:autoSpaceDN w:val="0"/>
              <w:snapToGrid w:val="0"/>
              <w:spacing w:line="290" w:lineRule="atLeast"/>
              <w:rPr>
                <w:rFonts w:ascii="SimSun" w:hAnsi="SimSun" w:hint="eastAsia"/>
                <w:szCs w:val="21"/>
                <w:lang w:eastAsia="ko-KR"/>
              </w:rPr>
            </w:pPr>
            <w:r w:rsidRPr="00285BD9">
              <w:rPr>
                <w:rFonts w:ascii="SimSun" w:eastAsia="SimSun" w:hAnsi="SimSun" w:hint="eastAsia"/>
                <w:szCs w:val="21"/>
              </w:rPr>
              <w:t>一、</w:t>
            </w:r>
            <w:r w:rsidRPr="00285BD9">
              <w:rPr>
                <w:rFonts w:ascii="SimSun" w:eastAsia="SimSun" w:hAnsi="SimSun" w:hint="eastAsia"/>
                <w:szCs w:val="21"/>
              </w:rPr>
              <w:t>扩大境内外汇贷款结汇范围。允许具有货物贸易出口背景的境内外汇贷款办理结汇。境内机构应以货物贸易出口收汇资金偿还，原则上不允许购汇偿还。</w:t>
            </w:r>
          </w:p>
          <w:p w:rsidR="00285BD9" w:rsidRPr="00285BD9" w:rsidRDefault="00285BD9" w:rsidP="00285BD9">
            <w:pPr>
              <w:rPr>
                <w:lang w:eastAsia="ko-KR"/>
              </w:rPr>
            </w:pPr>
          </w:p>
          <w:p w:rsidR="00285BD9" w:rsidRPr="00285BD9" w:rsidRDefault="00285BD9" w:rsidP="00285BD9">
            <w:pPr>
              <w:wordWrap w:val="0"/>
              <w:autoSpaceDE w:val="0"/>
              <w:autoSpaceDN w:val="0"/>
              <w:snapToGrid w:val="0"/>
              <w:spacing w:line="290" w:lineRule="atLeast"/>
              <w:rPr>
                <w:rFonts w:ascii="SimSun" w:eastAsia="SimSun" w:hAnsi="SimSun"/>
                <w:szCs w:val="21"/>
              </w:rPr>
            </w:pPr>
            <w:r w:rsidRPr="00285BD9">
              <w:rPr>
                <w:rFonts w:ascii="SimSun" w:eastAsia="SimSun" w:hAnsi="SimSun" w:hint="eastAsia"/>
                <w:szCs w:val="21"/>
              </w:rPr>
              <w:t>二、</w:t>
            </w:r>
            <w:r w:rsidRPr="00285BD9">
              <w:rPr>
                <w:rFonts w:ascii="SimSun" w:eastAsia="SimSun" w:hAnsi="SimSun" w:hint="eastAsia"/>
                <w:spacing w:val="20"/>
                <w:szCs w:val="21"/>
              </w:rPr>
              <w:t>允许内保外贷项下资金调回境内使用。债务人可通过向境内进行放贷、股权投资等方式将担保项下资金直接或间接调回境内使用。银行发生内保外贷担保履约的，相关结售汇纳入银行自身结售汇管理。</w:t>
            </w:r>
          </w:p>
          <w:p w:rsidR="00285BD9" w:rsidRPr="00285BD9" w:rsidRDefault="00285BD9" w:rsidP="00285BD9">
            <w:pPr>
              <w:wordWrap w:val="0"/>
              <w:autoSpaceDE w:val="0"/>
              <w:autoSpaceDN w:val="0"/>
              <w:snapToGrid w:val="0"/>
              <w:spacing w:line="290" w:lineRule="atLeast"/>
              <w:rPr>
                <w:rFonts w:ascii="SimSun" w:eastAsia="SimSun" w:hAnsi="SimSun"/>
                <w:szCs w:val="21"/>
              </w:rPr>
            </w:pPr>
            <w:r w:rsidRPr="00285BD9">
              <w:rPr>
                <w:rFonts w:ascii="SimSun" w:eastAsia="SimSun" w:hAnsi="SimSun" w:hint="eastAsia"/>
                <w:szCs w:val="21"/>
              </w:rPr>
              <w:t>三、进一步便利跨国公司外汇资金集中运营管理。境内银行通过国际外汇资金主账户吸收的存款，按照宏观审慎管理原则，可境内运用比例由不超过前六个月日均存款余额的</w:t>
            </w:r>
            <w:r w:rsidRPr="00285BD9">
              <w:rPr>
                <w:rFonts w:ascii="SimSun" w:eastAsia="SimSun" w:hAnsi="SimSun"/>
                <w:szCs w:val="21"/>
              </w:rPr>
              <w:t>50%</w:t>
            </w:r>
            <w:r w:rsidRPr="00285BD9">
              <w:rPr>
                <w:rFonts w:ascii="SimSun" w:eastAsia="SimSun" w:hAnsi="SimSun" w:hint="eastAsia"/>
                <w:szCs w:val="21"/>
              </w:rPr>
              <w:t>调整为</w:t>
            </w:r>
            <w:r w:rsidRPr="00285BD9">
              <w:rPr>
                <w:rFonts w:ascii="SimSun" w:eastAsia="SimSun" w:hAnsi="SimSun"/>
                <w:szCs w:val="21"/>
              </w:rPr>
              <w:t>100%；</w:t>
            </w:r>
            <w:r w:rsidRPr="00285BD9">
              <w:rPr>
                <w:rFonts w:ascii="SimSun" w:eastAsia="SimSun" w:hAnsi="SimSun" w:hint="eastAsia"/>
                <w:szCs w:val="21"/>
              </w:rPr>
              <w:t>境内运用资金不占用银行短期外债余额指标。</w:t>
            </w:r>
          </w:p>
          <w:p w:rsidR="00285BD9" w:rsidRPr="00285BD9" w:rsidRDefault="00285BD9" w:rsidP="00285BD9">
            <w:pPr>
              <w:wordWrap w:val="0"/>
              <w:autoSpaceDE w:val="0"/>
              <w:autoSpaceDN w:val="0"/>
              <w:snapToGrid w:val="0"/>
              <w:spacing w:line="290" w:lineRule="atLeast"/>
              <w:rPr>
                <w:rFonts w:ascii="SimSun" w:eastAsia="SimSun" w:hAnsi="SimSun"/>
                <w:szCs w:val="21"/>
              </w:rPr>
            </w:pPr>
            <w:r w:rsidRPr="00285BD9">
              <w:rPr>
                <w:rFonts w:ascii="SimSun" w:eastAsia="SimSun" w:hAnsi="SimSun" w:hint="eastAsia"/>
                <w:szCs w:val="21"/>
              </w:rPr>
              <w:t>四、允许自由贸易试验区内境外机构境内外汇账户结汇。结汇后汇入境内使用的，境内银行应当按照跨境交易相关规定，审核境内机构和境内个人有效商业单据和凭证后办理。</w:t>
            </w:r>
          </w:p>
          <w:p w:rsidR="00285BD9" w:rsidRPr="00285BD9" w:rsidRDefault="00285BD9" w:rsidP="00285BD9">
            <w:pPr>
              <w:wordWrap w:val="0"/>
              <w:autoSpaceDE w:val="0"/>
              <w:autoSpaceDN w:val="0"/>
              <w:snapToGrid w:val="0"/>
              <w:spacing w:line="290" w:lineRule="atLeast"/>
              <w:rPr>
                <w:rFonts w:ascii="SimSun" w:eastAsia="SimSun" w:hAnsi="SimSun"/>
                <w:szCs w:val="21"/>
              </w:rPr>
            </w:pPr>
            <w:r w:rsidRPr="00285BD9">
              <w:rPr>
                <w:rFonts w:ascii="SimSun" w:eastAsia="SimSun" w:hAnsi="SimSun" w:hint="eastAsia"/>
                <w:szCs w:val="21"/>
              </w:rPr>
              <w:t>五、</w:t>
            </w:r>
            <w:r w:rsidRPr="00285BD9">
              <w:rPr>
                <w:rFonts w:ascii="SimSun" w:eastAsia="SimSun" w:hAnsi="SimSun" w:hint="eastAsia"/>
                <w:spacing w:val="20"/>
                <w:szCs w:val="21"/>
              </w:rPr>
              <w:t>进一步规范货物贸易外汇管理。境内机构应当按照“谁出口谁收汇、谁进口谁付汇”原则办理贸易外汇收支业务，及时办理收汇业务，外汇局另有规定除</w:t>
            </w:r>
            <w:r w:rsidRPr="00285BD9">
              <w:rPr>
                <w:rFonts w:ascii="SimSun" w:eastAsia="SimSun" w:hAnsi="SimSun" w:hint="eastAsia"/>
                <w:spacing w:val="20"/>
                <w:szCs w:val="21"/>
              </w:rPr>
              <w:lastRenderedPageBreak/>
              <w:t>外。</w:t>
            </w:r>
          </w:p>
          <w:p w:rsidR="00285BD9" w:rsidRPr="00285BD9" w:rsidRDefault="00285BD9" w:rsidP="00285BD9">
            <w:pPr>
              <w:wordWrap w:val="0"/>
              <w:autoSpaceDE w:val="0"/>
              <w:autoSpaceDN w:val="0"/>
              <w:snapToGrid w:val="0"/>
              <w:spacing w:line="290" w:lineRule="atLeast"/>
              <w:rPr>
                <w:rFonts w:ascii="SimSun" w:eastAsia="SimSun" w:hAnsi="SimSun"/>
                <w:szCs w:val="21"/>
              </w:rPr>
            </w:pPr>
            <w:r w:rsidRPr="00285BD9">
              <w:rPr>
                <w:rFonts w:ascii="SimSun" w:eastAsia="SimSun" w:hAnsi="SimSun" w:hint="eastAsia"/>
                <w:szCs w:val="21"/>
              </w:rPr>
              <w:t>六、完善经常项目外汇收入存放境外统计。境内机构因各种原因已将出口收入或服务贸易收入留存境外，但未按《国家外汇管理局关于印发货物贸易外汇管理法规有关问题的通知》（汇发〔</w:t>
            </w:r>
            <w:r w:rsidRPr="00285BD9">
              <w:rPr>
                <w:rFonts w:ascii="SimSun" w:eastAsia="SimSun" w:hAnsi="SimSun"/>
                <w:szCs w:val="21"/>
              </w:rPr>
              <w:t>2012〕38</w:t>
            </w:r>
            <w:r w:rsidRPr="00285BD9">
              <w:rPr>
                <w:rFonts w:ascii="SimSun" w:eastAsia="SimSun" w:hAnsi="SimSun" w:hint="eastAsia"/>
                <w:szCs w:val="21"/>
              </w:rPr>
              <w:t>号）、《国家外汇管理局关于印发服务贸易外汇管理法规的通知》（汇发〔</w:t>
            </w:r>
            <w:r w:rsidRPr="00285BD9">
              <w:rPr>
                <w:rFonts w:ascii="SimSun" w:eastAsia="SimSun" w:hAnsi="SimSun"/>
                <w:szCs w:val="21"/>
              </w:rPr>
              <w:t>2013〕30</w:t>
            </w:r>
            <w:r w:rsidRPr="00285BD9">
              <w:rPr>
                <w:rFonts w:ascii="SimSun" w:eastAsia="SimSun" w:hAnsi="SimSun" w:hint="eastAsia"/>
                <w:szCs w:val="21"/>
              </w:rPr>
              <w:t>号）等办理外汇管理相关登记备案手续或报送信息的，应于本通知发布之日起一个月内主动报告相关信息。</w:t>
            </w:r>
          </w:p>
          <w:p w:rsidR="00285BD9" w:rsidRPr="00285BD9" w:rsidRDefault="00285BD9" w:rsidP="00285BD9">
            <w:pPr>
              <w:wordWrap w:val="0"/>
              <w:autoSpaceDE w:val="0"/>
              <w:autoSpaceDN w:val="0"/>
              <w:snapToGrid w:val="0"/>
              <w:spacing w:line="290" w:lineRule="atLeast"/>
              <w:rPr>
                <w:rFonts w:ascii="SimSun" w:eastAsia="SimSun" w:hAnsi="SimSun"/>
                <w:spacing w:val="20"/>
                <w:szCs w:val="21"/>
              </w:rPr>
            </w:pPr>
            <w:r w:rsidRPr="00285BD9">
              <w:rPr>
                <w:rFonts w:ascii="SimSun" w:eastAsia="SimSun" w:hAnsi="SimSun" w:hint="eastAsia"/>
                <w:szCs w:val="21"/>
              </w:rPr>
              <w:t>七、</w:t>
            </w:r>
            <w:r w:rsidRPr="00285BD9">
              <w:rPr>
                <w:rFonts w:ascii="SimSun" w:eastAsia="SimSun" w:hAnsi="SimSun" w:hint="eastAsia"/>
                <w:spacing w:val="20"/>
                <w:szCs w:val="21"/>
              </w:rPr>
              <w:t>继续执行并完善直接投资外汇利润汇出管理政策。银行为境内机构办理等值</w:t>
            </w:r>
            <w:r w:rsidRPr="00285BD9">
              <w:rPr>
                <w:rFonts w:ascii="SimSun" w:eastAsia="SimSun" w:hAnsi="SimSun"/>
                <w:spacing w:val="20"/>
                <w:szCs w:val="21"/>
              </w:rPr>
              <w:t>5</w:t>
            </w:r>
            <w:r w:rsidRPr="00285BD9">
              <w:rPr>
                <w:rFonts w:ascii="SimSun" w:eastAsia="SimSun" w:hAnsi="SimSun" w:hint="eastAsia"/>
                <w:spacing w:val="20"/>
                <w:szCs w:val="21"/>
              </w:rPr>
              <w:t>万美元以上（不含）利润汇出业务，应按真实交易原则审核与本次利润汇出相关的董事会利润分配决议（或合伙人利润分配决议）、税务备案表原件、经审计的财务报表，并在相关税务备案表原件上加章签注本次汇出金额和汇出日期。境内机构利润汇出前应先依法弥补以前年度亏损。</w:t>
            </w:r>
          </w:p>
          <w:p w:rsidR="00285BD9" w:rsidRPr="00285BD9" w:rsidRDefault="00285BD9" w:rsidP="00285BD9">
            <w:pPr>
              <w:wordWrap w:val="0"/>
              <w:autoSpaceDE w:val="0"/>
              <w:autoSpaceDN w:val="0"/>
              <w:snapToGrid w:val="0"/>
              <w:spacing w:line="290" w:lineRule="atLeast"/>
              <w:rPr>
                <w:rFonts w:ascii="SimSun" w:eastAsia="SimSun" w:hAnsi="SimSun"/>
                <w:szCs w:val="21"/>
              </w:rPr>
            </w:pPr>
            <w:r w:rsidRPr="00285BD9">
              <w:rPr>
                <w:rFonts w:ascii="SimSun" w:eastAsia="SimSun" w:hAnsi="SimSun" w:hint="eastAsia"/>
                <w:szCs w:val="21"/>
              </w:rPr>
              <w:t>八、加强境外直接投资真实性、合规性审核。境内机构办理境外直接投资登记和资金汇出手续时，除应按规定提交相关审核材料外，还应向银行说明投资资金来源与资金用途（使用计划）情况，提供董事会决议（或合伙人决议）、合同或其他真实性证明材料。银行按照展业原则加强真实性、合规性审核。</w:t>
            </w:r>
          </w:p>
          <w:p w:rsidR="00285BD9" w:rsidRPr="00285BD9" w:rsidRDefault="00285BD9" w:rsidP="00285BD9">
            <w:pPr>
              <w:wordWrap w:val="0"/>
              <w:autoSpaceDE w:val="0"/>
              <w:autoSpaceDN w:val="0"/>
              <w:snapToGrid w:val="0"/>
              <w:spacing w:line="290" w:lineRule="atLeast"/>
              <w:rPr>
                <w:rFonts w:ascii="SimSun" w:eastAsia="SimSun" w:hAnsi="SimSun"/>
                <w:spacing w:val="20"/>
                <w:szCs w:val="21"/>
              </w:rPr>
            </w:pPr>
            <w:r w:rsidRPr="00285BD9">
              <w:rPr>
                <w:rFonts w:ascii="SimSun" w:eastAsia="SimSun" w:hAnsi="SimSun" w:hint="eastAsia"/>
                <w:szCs w:val="21"/>
              </w:rPr>
              <w:t>九、</w:t>
            </w:r>
            <w:r w:rsidRPr="00285BD9">
              <w:rPr>
                <w:rFonts w:ascii="SimSun" w:eastAsia="SimSun" w:hAnsi="SimSun" w:hint="eastAsia"/>
                <w:spacing w:val="20"/>
                <w:szCs w:val="21"/>
              </w:rPr>
              <w:t>实施本外币全口径境外放款管理。境内机构办理境外放款业务，本币境外放款余额与外币境外放款余额合计最高不得超过其上年度经审计财务报表中所有者权益的</w:t>
            </w:r>
            <w:r w:rsidRPr="00285BD9">
              <w:rPr>
                <w:rFonts w:ascii="SimSun" w:eastAsia="SimSun" w:hAnsi="SimSun"/>
                <w:spacing w:val="20"/>
                <w:szCs w:val="21"/>
              </w:rPr>
              <w:t>30%。</w:t>
            </w:r>
          </w:p>
          <w:p w:rsidR="00285BD9" w:rsidRPr="00285BD9" w:rsidRDefault="00285BD9" w:rsidP="00285BD9">
            <w:pPr>
              <w:wordWrap w:val="0"/>
              <w:autoSpaceDE w:val="0"/>
              <w:autoSpaceDN w:val="0"/>
              <w:snapToGrid w:val="0"/>
              <w:spacing w:line="290" w:lineRule="atLeast"/>
              <w:rPr>
                <w:rFonts w:ascii="SimSun" w:eastAsia="SimSun" w:hAnsi="SimSun"/>
                <w:szCs w:val="21"/>
              </w:rPr>
            </w:pPr>
            <w:r w:rsidRPr="00285BD9">
              <w:rPr>
                <w:rFonts w:ascii="SimSun" w:eastAsia="SimSun" w:hAnsi="SimSun" w:hint="eastAsia"/>
                <w:szCs w:val="21"/>
              </w:rPr>
              <w:t>十、违反本通知规定的，由外汇局根据《中华人民共和国外汇管理条例》依法处罚。</w:t>
            </w:r>
          </w:p>
          <w:p w:rsidR="00285BD9" w:rsidRPr="00285BD9" w:rsidRDefault="00285BD9" w:rsidP="00285BD9">
            <w:pPr>
              <w:wordWrap w:val="0"/>
              <w:autoSpaceDE w:val="0"/>
              <w:autoSpaceDN w:val="0"/>
              <w:snapToGrid w:val="0"/>
              <w:spacing w:line="290" w:lineRule="atLeast"/>
              <w:rPr>
                <w:rFonts w:ascii="SimSun" w:eastAsia="SimSun" w:hAnsi="SimSun"/>
                <w:spacing w:val="20"/>
                <w:szCs w:val="21"/>
              </w:rPr>
            </w:pPr>
            <w:r w:rsidRPr="00285BD9">
              <w:rPr>
                <w:rFonts w:ascii="SimSun" w:eastAsia="SimSun" w:hAnsi="SimSun" w:hint="eastAsia"/>
                <w:szCs w:val="21"/>
              </w:rPr>
              <w:t>十一、</w:t>
            </w:r>
            <w:r w:rsidRPr="00285BD9">
              <w:rPr>
                <w:rFonts w:ascii="SimSun" w:eastAsia="SimSun" w:hAnsi="SimSun" w:hint="eastAsia"/>
                <w:spacing w:val="20"/>
                <w:szCs w:val="21"/>
              </w:rPr>
              <w:t>本通知自发布之日起施行，由国家外汇管理局负责解释。外汇局将定期评估政策实施效果，根据国际收支形势对政策进行调整。以前规定与本通知内容不一</w:t>
            </w:r>
            <w:r w:rsidRPr="00285BD9">
              <w:rPr>
                <w:rFonts w:ascii="SimSun" w:eastAsia="SimSun" w:hAnsi="SimSun" w:hint="eastAsia"/>
                <w:spacing w:val="20"/>
                <w:szCs w:val="21"/>
              </w:rPr>
              <w:lastRenderedPageBreak/>
              <w:t>致的，以本通知为准。</w:t>
            </w:r>
          </w:p>
          <w:p w:rsidR="00F6633C" w:rsidRPr="00285BD9" w:rsidRDefault="00285BD9" w:rsidP="00285BD9">
            <w:pPr>
              <w:wordWrap w:val="0"/>
              <w:autoSpaceDE w:val="0"/>
              <w:autoSpaceDN w:val="0"/>
              <w:snapToGrid w:val="0"/>
              <w:spacing w:line="290" w:lineRule="atLeast"/>
              <w:rPr>
                <w:rFonts w:ascii="SimSun" w:eastAsia="SimSun" w:hAnsi="SimSun"/>
                <w:szCs w:val="21"/>
              </w:rPr>
            </w:pPr>
            <w:r w:rsidRPr="00285BD9">
              <w:rPr>
                <w:rFonts w:ascii="SimSun" w:eastAsia="SimSun" w:hAnsi="SimSun" w:hint="eastAsia"/>
                <w:szCs w:val="21"/>
              </w:rPr>
              <w:t>各分局、外汇管理部接到本通知后，应尽快转发辖内中心支局、支局和外汇指定银行，并认真遵照执行。</w:t>
            </w:r>
          </w:p>
          <w:p w:rsidR="00F6633C" w:rsidRPr="00F6633C" w:rsidRDefault="00F6633C" w:rsidP="00285BD9">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AF2" w:rsidRDefault="000C6AF2" w:rsidP="00C278F4">
      <w:r>
        <w:separator/>
      </w:r>
    </w:p>
  </w:endnote>
  <w:endnote w:type="continuationSeparator" w:id="1">
    <w:p w:rsidR="000C6AF2" w:rsidRDefault="000C6AF2"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AF2" w:rsidRDefault="000C6AF2" w:rsidP="00C278F4">
      <w:r>
        <w:separator/>
      </w:r>
    </w:p>
  </w:footnote>
  <w:footnote w:type="continuationSeparator" w:id="1">
    <w:p w:rsidR="000C6AF2" w:rsidRDefault="000C6AF2"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0417B1B"/>
    <w:multiLevelType w:val="hybridMultilevel"/>
    <w:tmpl w:val="64EE9A1C"/>
    <w:lvl w:ilvl="0" w:tplc="7A408E3E">
      <w:start w:val="1"/>
      <w:numFmt w:val="japaneseCounting"/>
      <w:lvlText w:val="%1、"/>
      <w:lvlJc w:val="left"/>
      <w:pPr>
        <w:ind w:left="840" w:hanging="440"/>
      </w:pPr>
      <w:rPr>
        <w:rFonts w:eastAsia="SimSu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5">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6">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4"/>
  </w:num>
  <w:num w:numId="2">
    <w:abstractNumId w:val="11"/>
  </w:num>
  <w:num w:numId="3">
    <w:abstractNumId w:val="3"/>
  </w:num>
  <w:num w:numId="4">
    <w:abstractNumId w:val="6"/>
  </w:num>
  <w:num w:numId="5">
    <w:abstractNumId w:val="16"/>
  </w:num>
  <w:num w:numId="6">
    <w:abstractNumId w:val="17"/>
  </w:num>
  <w:num w:numId="7">
    <w:abstractNumId w:val="10"/>
  </w:num>
  <w:num w:numId="8">
    <w:abstractNumId w:val="0"/>
  </w:num>
  <w:num w:numId="9">
    <w:abstractNumId w:val="9"/>
  </w:num>
  <w:num w:numId="10">
    <w:abstractNumId w:val="7"/>
  </w:num>
  <w:num w:numId="11">
    <w:abstractNumId w:val="13"/>
  </w:num>
  <w:num w:numId="12">
    <w:abstractNumId w:val="18"/>
  </w:num>
  <w:num w:numId="13">
    <w:abstractNumId w:val="12"/>
  </w:num>
  <w:num w:numId="14">
    <w:abstractNumId w:val="8"/>
  </w:num>
  <w:num w:numId="15">
    <w:abstractNumId w:val="4"/>
  </w:num>
  <w:num w:numId="16">
    <w:abstractNumId w:val="15"/>
  </w:num>
  <w:num w:numId="17">
    <w:abstractNumId w:val="2"/>
  </w:num>
  <w:num w:numId="18">
    <w:abstractNumId w:val="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C6AF2"/>
    <w:rsid w:val="000D115A"/>
    <w:rsid w:val="00100135"/>
    <w:rsid w:val="00135A6C"/>
    <w:rsid w:val="00140993"/>
    <w:rsid w:val="0016200D"/>
    <w:rsid w:val="001A612D"/>
    <w:rsid w:val="001F2DDE"/>
    <w:rsid w:val="002068CB"/>
    <w:rsid w:val="00210CC1"/>
    <w:rsid w:val="002404C7"/>
    <w:rsid w:val="00247BC5"/>
    <w:rsid w:val="00264629"/>
    <w:rsid w:val="0028452A"/>
    <w:rsid w:val="00285BD9"/>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6264A"/>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547</Words>
  <Characters>3120</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2017-02-17T01:05:00Z</dcterms:modified>
</cp:coreProperties>
</file>