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AD19F1" w:rsidRPr="00AD19F1" w:rsidRDefault="00AD19F1" w:rsidP="00AD19F1">
            <w:pPr>
              <w:wordWrap w:val="0"/>
              <w:autoSpaceDN w:val="0"/>
              <w:snapToGrid w:val="0"/>
              <w:spacing w:line="290" w:lineRule="atLeast"/>
              <w:jc w:val="center"/>
              <w:rPr>
                <w:rFonts w:ascii="한컴바탕" w:eastAsia="한컴바탕" w:hAnsi="한컴바탕" w:cs="한컴바탕"/>
                <w:b/>
                <w:sz w:val="26"/>
                <w:szCs w:val="26"/>
                <w:lang w:eastAsia="ko-KR"/>
              </w:rPr>
            </w:pPr>
            <w:r w:rsidRPr="00AD19F1">
              <w:rPr>
                <w:rFonts w:ascii="한컴바탕" w:eastAsia="한컴바탕" w:hAnsi="한컴바탕" w:cs="한컴바탕" w:hint="eastAsia"/>
                <w:b/>
                <w:sz w:val="26"/>
                <w:szCs w:val="26"/>
                <w:lang w:eastAsia="ko-KR"/>
              </w:rPr>
              <w:t>가공무역하의</w:t>
            </w:r>
            <w:r w:rsidRPr="00AD19F1">
              <w:rPr>
                <w:rFonts w:ascii="한컴바탕" w:eastAsia="한컴바탕" w:hAnsi="한컴바탕" w:cs="한컴바탕"/>
                <w:b/>
                <w:sz w:val="26"/>
                <w:szCs w:val="26"/>
                <w:lang w:eastAsia="ko-KR"/>
              </w:rPr>
              <w:t xml:space="preserve"> 수입 소모성 자재 관리 </w:t>
            </w:r>
            <w:r w:rsidRPr="00AD19F1">
              <w:rPr>
                <w:rFonts w:ascii="한컴바탕" w:eastAsia="한컴바탕" w:hAnsi="한컴바탕" w:cs="한컴바탕" w:hint="eastAsia"/>
                <w:b/>
                <w:sz w:val="26"/>
                <w:szCs w:val="26"/>
                <w:lang w:eastAsia="ko-KR"/>
              </w:rPr>
              <w:t>규범화에</w:t>
            </w:r>
            <w:r w:rsidRPr="00AD19F1">
              <w:rPr>
                <w:rFonts w:ascii="한컴바탕" w:eastAsia="한컴바탕" w:hAnsi="한컴바탕" w:cs="한컴바탕"/>
                <w:b/>
                <w:sz w:val="26"/>
                <w:szCs w:val="26"/>
                <w:lang w:eastAsia="ko-KR"/>
              </w:rPr>
              <w:t xml:space="preserve"> 관한 공고</w:t>
            </w:r>
          </w:p>
          <w:p w:rsidR="00AD19F1" w:rsidRPr="00AD19F1" w:rsidRDefault="00AD19F1" w:rsidP="00AD19F1">
            <w:pPr>
              <w:wordWrap w:val="0"/>
              <w:autoSpaceDN w:val="0"/>
              <w:snapToGrid w:val="0"/>
              <w:spacing w:line="290" w:lineRule="atLeast"/>
              <w:jc w:val="center"/>
              <w:rPr>
                <w:rFonts w:ascii="한컴바탕" w:eastAsia="한컴바탕" w:hAnsi="한컴바탕" w:cs="한컴바탕"/>
                <w:spacing w:val="-6"/>
                <w:szCs w:val="21"/>
                <w:lang w:eastAsia="ko-KR"/>
              </w:rPr>
            </w:pPr>
            <w:r w:rsidRPr="00AD19F1">
              <w:rPr>
                <w:rFonts w:ascii="한컴바탕" w:eastAsia="한컴바탕" w:hAnsi="한컴바탕" w:cs="한컴바탕" w:hint="eastAsia"/>
                <w:spacing w:val="-6"/>
                <w:szCs w:val="21"/>
                <w:lang w:eastAsia="ko-KR"/>
              </w:rPr>
              <w:t>해관총서공고</w:t>
            </w:r>
            <w:r w:rsidRPr="00AD19F1">
              <w:rPr>
                <w:rFonts w:ascii="한컴바탕" w:eastAsia="한컴바탕" w:hAnsi="한컴바탕" w:cs="한컴바탕"/>
                <w:spacing w:val="-6"/>
                <w:szCs w:val="21"/>
                <w:lang w:eastAsia="ko-KR"/>
              </w:rPr>
              <w:t>2016년제67호</w:t>
            </w:r>
          </w:p>
          <w:p w:rsidR="00AD19F1" w:rsidRPr="00AD19F1" w:rsidRDefault="00AD19F1" w:rsidP="00AD19F1">
            <w:pPr>
              <w:wordWrap w:val="0"/>
              <w:autoSpaceDN w:val="0"/>
              <w:snapToGrid w:val="0"/>
              <w:spacing w:line="290" w:lineRule="atLeast"/>
              <w:jc w:val="left"/>
              <w:rPr>
                <w:rFonts w:ascii="한컴바탕" w:eastAsia="한컴바탕" w:hAnsi="한컴바탕" w:cs="한컴바탕"/>
                <w:spacing w:val="-6"/>
                <w:szCs w:val="21"/>
                <w:lang w:eastAsia="ko-KR"/>
              </w:rPr>
            </w:pPr>
          </w:p>
          <w:p w:rsidR="00AD19F1" w:rsidRPr="00AD19F1" w:rsidRDefault="00AD19F1" w:rsidP="00AD19F1">
            <w:pPr>
              <w:wordWrap w:val="0"/>
              <w:autoSpaceDN w:val="0"/>
              <w:snapToGrid w:val="0"/>
              <w:spacing w:line="290" w:lineRule="atLeast"/>
              <w:jc w:val="left"/>
              <w:rPr>
                <w:rFonts w:ascii="한컴바탕" w:eastAsia="한컴바탕" w:hAnsi="한컴바탕" w:cs="한컴바탕"/>
                <w:spacing w:val="-6"/>
                <w:szCs w:val="21"/>
                <w:lang w:eastAsia="ko-KR"/>
              </w:rPr>
            </w:pP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hint="eastAsia"/>
                <w:spacing w:val="-6"/>
                <w:szCs w:val="21"/>
                <w:lang w:eastAsia="ko-KR"/>
              </w:rPr>
              <w:t>가공무역하의</w:t>
            </w:r>
            <w:r w:rsidRPr="00AD19F1">
              <w:rPr>
                <w:rFonts w:ascii="한컴바탕" w:eastAsia="한컴바탕" w:hAnsi="한컴바탕" w:cs="한컴바탕"/>
                <w:spacing w:val="-6"/>
                <w:szCs w:val="21"/>
                <w:lang w:eastAsia="ko-KR"/>
              </w:rPr>
              <w:t xml:space="preserve"> 수입소모성 자재(이하 “소모성 자재”이라 약칭)의 관리를 규범화 및 통일화하고 감독관리효능을 제고시키기 위해, 유관사항을 다음과 같이 공고한다</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 xml:space="preserve">1. 본 공고에서 일컫는 소모성 자재는 가공무역기업이 수출완제품 가공을 위해 수입하고, 동시에 수출완제품 가공에 필요하고 직접적으로 생산과정에 사용되나 완전하게 완제품에 물화되지 않은 자재를 의미한다. 물화(물질의 변화)란 물리 또는 화학방식으로 자재를 완제품에 존속시키고, 동시에 상품의 기본특성을 구성하도록 하는 전환과정을 의미한다.   </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2. 해관은 소모성 자재에 대해 보세방식에 따라 감독관리를 진행한다. 가공무역기업이 소모성 자재를 수입할 경우, 기업유형 및 무역방식(진료가공, 내료가공), 단독수입 신고여부의 제한을 받지 않는다</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hint="eastAsia"/>
                <w:spacing w:val="-6"/>
                <w:szCs w:val="21"/>
                <w:lang w:eastAsia="ko-KR"/>
              </w:rPr>
              <w:t>소모성</w:t>
            </w:r>
            <w:r w:rsidRPr="00AD19F1">
              <w:rPr>
                <w:rFonts w:ascii="한컴바탕" w:eastAsia="한컴바탕" w:hAnsi="한컴바탕" w:cs="한컴바탕"/>
                <w:spacing w:val="-6"/>
                <w:szCs w:val="21"/>
                <w:lang w:eastAsia="ko-KR"/>
              </w:rPr>
              <w:t xml:space="preserve"> 자재상품이 동태적 조정의 원인으로 인해 가공무역 금지류 상품목록에 포함될 경우, 가공무역 금지류 상품으로 관리를 진행하고, 보세감독관리를 실행하지 않는다.</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hint="eastAsia"/>
                <w:spacing w:val="-6"/>
                <w:szCs w:val="21"/>
                <w:lang w:eastAsia="ko-KR"/>
              </w:rPr>
              <w:t>소모성</w:t>
            </w:r>
            <w:r w:rsidRPr="00AD19F1">
              <w:rPr>
                <w:rFonts w:ascii="한컴바탕" w:eastAsia="한컴바탕" w:hAnsi="한컴바탕" w:cs="한컴바탕"/>
                <w:spacing w:val="-6"/>
                <w:szCs w:val="21"/>
                <w:lang w:eastAsia="ko-KR"/>
              </w:rPr>
              <w:t xml:space="preserve"> 자재 또는 그 완제품을 내수시장에 판매하는 경우, 해관은 법에 의거하여 소모성 자재에 대한 세금을 징수하고, 또한 납세유예이자를 추가 징수한다. 소모성 자재가 수입허가증 관리범위에 해당하는 경우, 기업은 내수 판매시 수입허가증서를 제출하여야 한다</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 xml:space="preserve">3. 이하의 상품은 가공무역 소모성 자재로 보세방식의 감독관리를 진행하지 않는다; 가공무역기업 생산설비, 공구의 쉽게 손상되는 부품, 예를 들어 드릴 비트, 연삭기, 절삭공구 날, 연마공구 등; 쉽게 소모되는 물품, 예를 들어 기계유 및 윤활유, 인쇄용 필름 및 PS판 등; 검측물질, 예를 들어 검측종이, 검측테이프, 검측디스크, 검측바늘 등; 안전보호용품, 예를 들어 작업복, 모자, 장갑 등; 회로기판용을 인쇄∙제작하는 드라이 필름 및 골프공과 비행기 </w:t>
            </w:r>
            <w:r w:rsidRPr="00AD19F1">
              <w:rPr>
                <w:rFonts w:ascii="한컴바탕" w:eastAsia="한컴바탕" w:hAnsi="한컴바탕" w:cs="한컴바탕" w:hint="eastAsia"/>
                <w:spacing w:val="-6"/>
                <w:szCs w:val="21"/>
                <w:lang w:eastAsia="ko-KR"/>
              </w:rPr>
              <w:t>엔진날개용</w:t>
            </w:r>
            <w:r w:rsidRPr="00AD19F1">
              <w:rPr>
                <w:rFonts w:ascii="한컴바탕" w:eastAsia="한컴바탕" w:hAnsi="한컴바탕" w:cs="한컴바탕"/>
                <w:spacing w:val="-6"/>
                <w:szCs w:val="21"/>
                <w:lang w:eastAsia="ko-KR"/>
              </w:rPr>
              <w:t xml:space="preserve"> 모형을 생산하는데 수입이 필요한 연한금속, 납, 내화재료 등이다.</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 xml:space="preserve">4. 가공무역으로 수입한 자재가 동시에 아래 조건에 부합할 경우, 소모성 자재 관리에 포함시키지 </w:t>
            </w:r>
            <w:r w:rsidRPr="00AD19F1">
              <w:rPr>
                <w:rFonts w:ascii="한컴바탕" w:eastAsia="한컴바탕" w:hAnsi="한컴바탕" w:cs="한컴바탕"/>
                <w:spacing w:val="-6"/>
                <w:szCs w:val="21"/>
                <w:lang w:eastAsia="ko-KR"/>
              </w:rPr>
              <w:lastRenderedPageBreak/>
              <w:t>않고, 기업은 보세자재의 관련 규정에 따라 유관수속을 처리한다</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4.1 자재가 가공과정 중 물리변화 또는 화학반응 통해 완제품 중에 존재하거나 전환된 것</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4.2 자재가 완제품 중 존재하거나 또는 전환된 양이 완제품 성능을 유지하는데 필수불가결한 구성부분이며, 잔류물이 아닐 것</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AD19F1">
              <w:rPr>
                <w:rFonts w:ascii="한컴바탕" w:eastAsia="한컴바탕" w:hAnsi="한컴바탕" w:cs="한컴바탕"/>
                <w:spacing w:val="-6"/>
                <w:szCs w:val="21"/>
                <w:lang w:eastAsia="ko-KR"/>
              </w:rPr>
              <w:t xml:space="preserve">5. </w:t>
            </w:r>
            <w:r w:rsidRPr="00AD19F1">
              <w:rPr>
                <w:rFonts w:ascii="한컴바탕" w:eastAsia="한컴바탕" w:hAnsi="한컴바탕" w:cs="한컴바탕"/>
                <w:spacing w:val="-10"/>
                <w:szCs w:val="21"/>
                <w:lang w:eastAsia="ko-KR"/>
              </w:rPr>
              <w:t xml:space="preserve">기업이 보세수입한 소모성 자재를 신고할 경우, &lt;가공무역기업 경영상황과 생산능력 증명&gt; 문건의 수입자재란에 이를 열거하여야 한다. 기업이 수책(장부) 개설(변경)수속을 할 경우, 주관 해관에 &lt;가공무역하의 수입 소모성자재 신고표&gt;(자세한 내용은 첨부 참조)를 제출하여야 하며, 신고내용이 완전하여야 한다. 만약 해관이 필요로 할 경우, 기업이 아울러 아래 보충자료를 제출하여야 한다. </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5.1 소모성 자재의 속성과 용도설명</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14"/>
                <w:szCs w:val="21"/>
                <w:lang w:eastAsia="ko-KR"/>
              </w:rPr>
            </w:pPr>
            <w:r w:rsidRPr="00AD19F1">
              <w:rPr>
                <w:rFonts w:ascii="한컴바탕" w:eastAsia="한컴바탕" w:hAnsi="한컴바탕" w:cs="한컴바탕"/>
                <w:spacing w:val="-6"/>
                <w:szCs w:val="21"/>
                <w:lang w:eastAsia="ko-KR"/>
              </w:rPr>
              <w:t xml:space="preserve">5.2 </w:t>
            </w:r>
            <w:r w:rsidRPr="00AD19F1">
              <w:rPr>
                <w:rFonts w:ascii="한컴바탕" w:eastAsia="한컴바탕" w:hAnsi="한컴바탕" w:cs="한컴바탕"/>
                <w:spacing w:val="14"/>
                <w:szCs w:val="21"/>
                <w:lang w:eastAsia="ko-KR"/>
              </w:rPr>
              <w:t>가공과정 중 소모성 자재의 화학반응 또는 물리변화원리, 화학반응식, 사용량 및 완제품과의 매칭관계 등에 대한 서면자료</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5.3 해관이 제출이 필요하다고 여기는 기타증명문건과 자료</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6. 소모성 자재는 상응하는 가공생산과정의 수입자재, 수출완제품과 동일한 수책(장부)에 포함시켜 관리하여야 한다. 기업은 수책(장부) 개설(변경) 단계에서 요구에 따라 해관에 신고하여야 한다. 기업이 소모성 자재를 신고할 경우 표시를 하여야 하며, “상품명칭”란 첫머리에 “[소(</w:t>
            </w:r>
            <w:r w:rsidRPr="00AD19F1">
              <w:rPr>
                <w:rFonts w:ascii="한컴바탕" w:eastAsia="한컴바탕" w:hAnsi="한컴바탕" w:cs="한컴바탕" w:hint="eastAsia"/>
                <w:spacing w:val="-6"/>
                <w:szCs w:val="21"/>
                <w:lang w:eastAsia="ko-KR"/>
              </w:rPr>
              <w:t>消</w:t>
            </w:r>
            <w:r w:rsidRPr="00AD19F1">
              <w:rPr>
                <w:rFonts w:ascii="한컴바탕" w:eastAsia="한컴바탕" w:hAnsi="한컴바탕" w:cs="한컴바탕"/>
                <w:spacing w:val="-6"/>
                <w:szCs w:val="21"/>
                <w:lang w:eastAsia="ko-KR"/>
              </w:rPr>
              <w:t>)]”라는 주석을 달아 밝힌다 (주: 중괄호는 반각부호); “단모(단위소모량)/정모(순소모량)”항목에는 사실대로 소모량을 신고한다</w:t>
            </w:r>
            <w:r>
              <w:rPr>
                <w:rFonts w:ascii="한컴바탕" w:eastAsia="한컴바탕" w:hAnsi="한컴바탕" w:cs="한컴바탕"/>
                <w:spacing w:val="-6"/>
                <w:szCs w:val="21"/>
                <w:lang w:eastAsia="ko-KR"/>
              </w:rPr>
              <w:t xml:space="preserve">. </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hint="eastAsia"/>
                <w:spacing w:val="-6"/>
                <w:szCs w:val="21"/>
                <w:lang w:eastAsia="ko-KR"/>
              </w:rPr>
              <w:t>소모성</w:t>
            </w:r>
            <w:r w:rsidRPr="00AD19F1">
              <w:rPr>
                <w:rFonts w:ascii="한컴바탕" w:eastAsia="한컴바탕" w:hAnsi="한컴바탕" w:cs="한컴바탕"/>
                <w:spacing w:val="-6"/>
                <w:szCs w:val="21"/>
                <w:lang w:eastAsia="ko-KR"/>
              </w:rPr>
              <w:t xml:space="preserve"> 자재는 기타 보세자재와 구분하여 신고해야 하고, 섞지 말아야 한다. </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7. 소모성 자재의 관리는 사실대로 신고하고, 실제에 근거하여 핵소하는 원칙을 준수한다</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hint="eastAsia"/>
                <w:spacing w:val="-6"/>
                <w:szCs w:val="21"/>
                <w:lang w:eastAsia="ko-KR"/>
              </w:rPr>
              <w:t>기업은</w:t>
            </w:r>
            <w:r w:rsidRPr="00AD19F1">
              <w:rPr>
                <w:rFonts w:ascii="한컴바탕" w:eastAsia="한컴바탕" w:hAnsi="한컴바탕" w:cs="한컴바탕"/>
                <w:spacing w:val="-6"/>
                <w:szCs w:val="21"/>
                <w:lang w:eastAsia="ko-KR"/>
              </w:rPr>
              <w:t xml:space="preserve"> 생산과정에서 실제로 심사 확정된 소모량을 결합시켜야 하며, 또한 가공무역 수책(장부)의 유관 규정에서 요구하는 핵소 신고기한 내에 세관에 핵소를 신고해야 한다. </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hint="eastAsia"/>
                <w:spacing w:val="-6"/>
                <w:szCs w:val="21"/>
                <w:lang w:eastAsia="ko-KR"/>
              </w:rPr>
              <w:t>해관이</w:t>
            </w:r>
            <w:r w:rsidRPr="00AD19F1">
              <w:rPr>
                <w:rFonts w:ascii="한컴바탕" w:eastAsia="한컴바탕" w:hAnsi="한컴바탕" w:cs="한컴바탕"/>
                <w:spacing w:val="-6"/>
                <w:szCs w:val="21"/>
                <w:lang w:eastAsia="ko-KR"/>
              </w:rPr>
              <w:t xml:space="preserve"> 필요하다고 여길 경우 현지조사 등 방식을 통해 기업이 신고한 데이터에 대해 심사∙대조 및 검증을 진행할 수 있으며, 기업은 적극적으로 협조하고 해관요구에 따라 관련 증명자료를 제공하여야 한다</w:t>
            </w:r>
            <w:r>
              <w:rPr>
                <w:rFonts w:ascii="한컴바탕" w:eastAsia="한컴바탕" w:hAnsi="한컴바탕" w:cs="한컴바탕"/>
                <w:spacing w:val="-6"/>
                <w:szCs w:val="21"/>
                <w:lang w:eastAsia="ko-KR"/>
              </w:rPr>
              <w:t>.</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zCs w:val="21"/>
                <w:lang w:eastAsia="ko-KR"/>
              </w:rPr>
            </w:pPr>
            <w:r w:rsidRPr="00AD19F1">
              <w:rPr>
                <w:rFonts w:ascii="한컴바탕" w:eastAsia="한컴바탕" w:hAnsi="한컴바탕" w:cs="한컴바탕" w:hint="eastAsia"/>
                <w:szCs w:val="21"/>
                <w:lang w:eastAsia="ko-KR"/>
              </w:rPr>
              <w:t>기업은</w:t>
            </w:r>
            <w:r w:rsidRPr="00AD19F1">
              <w:rPr>
                <w:rFonts w:ascii="한컴바탕" w:eastAsia="한컴바탕" w:hAnsi="한컴바탕" w:cs="한컴바탕"/>
                <w:szCs w:val="21"/>
                <w:lang w:eastAsia="ko-KR"/>
              </w:rPr>
              <w:t xml:space="preserve"> 소모성 자재의 후속처리에 대해 &lt;중화인민공화국 해관의 가공무역 자투리, 잔여자재, </w:t>
            </w:r>
            <w:r w:rsidRPr="00AD19F1">
              <w:rPr>
                <w:rFonts w:ascii="한컴바탕" w:eastAsia="한컴바탕" w:hAnsi="한컴바탕" w:cs="한컴바탕"/>
                <w:szCs w:val="21"/>
                <w:lang w:eastAsia="ko-KR"/>
              </w:rPr>
              <w:lastRenderedPageBreak/>
              <w:t>불량품, 부산물과 피해를 당한 보세화물에 관한 관리방법&gt;(해관총서령제111호 공표, 해관총서령제218호수정)유관 관리규정을 참고하여 처리한다.</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AD19F1">
              <w:rPr>
                <w:rFonts w:ascii="한컴바탕" w:eastAsia="한컴바탕" w:hAnsi="한컴바탕" w:cs="한컴바탕"/>
                <w:spacing w:val="-6"/>
                <w:szCs w:val="21"/>
                <w:lang w:eastAsia="ko-KR"/>
              </w:rPr>
              <w:t xml:space="preserve">8. </w:t>
            </w:r>
            <w:r w:rsidRPr="00AD19F1">
              <w:rPr>
                <w:rFonts w:ascii="한컴바탕" w:eastAsia="한컴바탕" w:hAnsi="한컴바탕" w:cs="한컴바탕"/>
                <w:spacing w:val="-8"/>
                <w:szCs w:val="21"/>
                <w:lang w:eastAsia="ko-KR"/>
              </w:rPr>
              <w:t>해관 특수감독관리구역 내 기업이 소모성 자재를 수입할 경우 보세감독관리를 실행한다. 상술한 자재 또는 그 완제품이 경내의 구외(</w:t>
            </w:r>
            <w:r w:rsidRPr="00AD19F1">
              <w:rPr>
                <w:rFonts w:ascii="한컴바탕" w:eastAsia="한컴바탕" w:hAnsi="한컴바탕" w:cs="한컴바탕" w:hint="eastAsia"/>
                <w:spacing w:val="-8"/>
                <w:szCs w:val="21"/>
                <w:lang w:eastAsia="ko-KR"/>
              </w:rPr>
              <w:t>區外</w:t>
            </w:r>
            <w:r w:rsidRPr="00AD19F1">
              <w:rPr>
                <w:rFonts w:ascii="한컴바탕" w:eastAsia="한컴바탕" w:hAnsi="한컴바탕" w:cs="한컴바탕"/>
                <w:spacing w:val="-8"/>
                <w:szCs w:val="21"/>
                <w:lang w:eastAsia="ko-KR"/>
              </w:rPr>
              <w:t>) 지역으로 판매될 경우, 기업은 규정에 따라 세금을 납부하고 수입 수속을 처리하여야 하며, 수입허가증 관리와 관련되는 경우 유관 증서를 제출하여야 한다.</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AD19F1">
              <w:rPr>
                <w:rFonts w:ascii="한컴바탕" w:eastAsia="한컴바탕" w:hAnsi="한컴바탕" w:cs="한컴바탕"/>
                <w:spacing w:val="-6"/>
                <w:szCs w:val="21"/>
                <w:lang w:eastAsia="ko-KR"/>
              </w:rPr>
              <w:t>9. 본 공고는 2017년 1월 1일부터 시행한다. 해관총서공고 2011년 제2호는 본 공고 시행일부터 집행을 중단한다</w:t>
            </w:r>
            <w:r>
              <w:rPr>
                <w:rFonts w:ascii="한컴바탕" w:eastAsia="한컴바탕" w:hAnsi="한컴바탕" w:cs="한컴바탕"/>
                <w:spacing w:val="-6"/>
                <w:szCs w:val="21"/>
                <w:lang w:eastAsia="ko-KR"/>
              </w:rPr>
              <w:t>.</w:t>
            </w:r>
          </w:p>
          <w:p w:rsid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rPr>
            </w:pPr>
            <w:r w:rsidRPr="00AD19F1">
              <w:rPr>
                <w:rFonts w:ascii="한컴바탕" w:eastAsia="한컴바탕" w:hAnsi="한컴바탕" w:cs="한컴바탕" w:hint="eastAsia"/>
                <w:spacing w:val="-6"/>
                <w:szCs w:val="21"/>
                <w:lang w:eastAsia="ko-KR"/>
              </w:rPr>
              <w:t>특별히</w:t>
            </w:r>
            <w:r w:rsidRPr="00AD19F1">
              <w:rPr>
                <w:rFonts w:ascii="한컴바탕" w:eastAsia="한컴바탕" w:hAnsi="한컴바탕" w:cs="한컴바탕"/>
                <w:spacing w:val="-6"/>
                <w:szCs w:val="21"/>
                <w:lang w:eastAsia="ko-KR"/>
              </w:rPr>
              <w:t xml:space="preserve"> 이를 공고한다.</w:t>
            </w:r>
          </w:p>
          <w:p w:rsidR="00AD19F1" w:rsidRPr="00AD19F1" w:rsidRDefault="00AD19F1" w:rsidP="00AD19F1">
            <w:pPr>
              <w:wordWrap w:val="0"/>
              <w:autoSpaceDN w:val="0"/>
              <w:snapToGrid w:val="0"/>
              <w:spacing w:line="290" w:lineRule="atLeast"/>
              <w:jc w:val="left"/>
              <w:rPr>
                <w:rFonts w:ascii="한컴바탕" w:eastAsia="한컴바탕" w:hAnsi="한컴바탕" w:cs="한컴바탕" w:hint="eastAsia"/>
                <w:spacing w:val="-6"/>
                <w:szCs w:val="21"/>
              </w:rPr>
            </w:pPr>
          </w:p>
          <w:p w:rsidR="00AD19F1" w:rsidRPr="00AD19F1" w:rsidRDefault="00AD19F1" w:rsidP="00AD19F1">
            <w:pPr>
              <w:wordWrap w:val="0"/>
              <w:autoSpaceDN w:val="0"/>
              <w:snapToGrid w:val="0"/>
              <w:spacing w:line="290" w:lineRule="atLeast"/>
              <w:jc w:val="left"/>
              <w:rPr>
                <w:rFonts w:ascii="한컴바탕" w:eastAsia="한컴바탕" w:hAnsi="한컴바탕" w:cs="한컴바탕"/>
                <w:spacing w:val="-6"/>
                <w:szCs w:val="21"/>
                <w:lang w:eastAsia="ko-KR"/>
              </w:rPr>
            </w:pPr>
            <w:r w:rsidRPr="00AD19F1">
              <w:rPr>
                <w:rFonts w:ascii="한컴바탕" w:eastAsia="한컴바탕" w:hAnsi="한컴바탕" w:cs="한컴바탕" w:hint="eastAsia"/>
                <w:spacing w:val="-6"/>
                <w:szCs w:val="21"/>
                <w:lang w:eastAsia="ko-KR"/>
              </w:rPr>
              <w:t>첨부</w:t>
            </w:r>
            <w:r w:rsidRPr="00AD19F1">
              <w:rPr>
                <w:rFonts w:ascii="한컴바탕" w:eastAsia="한컴바탕" w:hAnsi="한컴바탕" w:cs="한컴바탕"/>
                <w:spacing w:val="-6"/>
                <w:szCs w:val="21"/>
                <w:lang w:eastAsia="ko-KR"/>
              </w:rPr>
              <w:t>: 가공무역하의 수입 소모성 자재 신고표</w:t>
            </w:r>
          </w:p>
          <w:p w:rsidR="00AD19F1" w:rsidRPr="00AD19F1" w:rsidRDefault="00AD19F1" w:rsidP="00AD19F1">
            <w:pPr>
              <w:wordWrap w:val="0"/>
              <w:autoSpaceDN w:val="0"/>
              <w:snapToGrid w:val="0"/>
              <w:spacing w:line="290" w:lineRule="atLeast"/>
              <w:jc w:val="left"/>
              <w:rPr>
                <w:rFonts w:ascii="한컴바탕" w:eastAsia="한컴바탕" w:hAnsi="한컴바탕" w:cs="한컴바탕"/>
                <w:spacing w:val="-6"/>
                <w:szCs w:val="21"/>
                <w:lang w:eastAsia="ko-KR"/>
              </w:rPr>
            </w:pPr>
          </w:p>
          <w:p w:rsidR="00AD19F1" w:rsidRPr="00AD19F1" w:rsidRDefault="00AD19F1" w:rsidP="00AD19F1">
            <w:pPr>
              <w:wordWrap w:val="0"/>
              <w:autoSpaceDN w:val="0"/>
              <w:snapToGrid w:val="0"/>
              <w:spacing w:line="290" w:lineRule="atLeast"/>
              <w:jc w:val="right"/>
              <w:rPr>
                <w:rFonts w:ascii="한컴바탕" w:eastAsia="한컴바탕" w:hAnsi="한컴바탕" w:cs="한컴바탕" w:hint="eastAsia"/>
                <w:spacing w:val="-6"/>
                <w:szCs w:val="21"/>
              </w:rPr>
            </w:pPr>
            <w:r w:rsidRPr="00AD19F1">
              <w:rPr>
                <w:rFonts w:ascii="한컴바탕" w:eastAsia="한컴바탕" w:hAnsi="한컴바탕" w:cs="한컴바탕" w:hint="eastAsia"/>
                <w:spacing w:val="-6"/>
                <w:szCs w:val="21"/>
                <w:lang w:eastAsia="ko-KR"/>
              </w:rPr>
              <w:t>해관총서</w:t>
            </w:r>
          </w:p>
          <w:p w:rsidR="00F6633C" w:rsidRPr="00F6633C" w:rsidRDefault="00AD19F1" w:rsidP="00AD19F1">
            <w:pPr>
              <w:wordWrap w:val="0"/>
              <w:autoSpaceDN w:val="0"/>
              <w:snapToGrid w:val="0"/>
              <w:spacing w:line="290" w:lineRule="atLeast"/>
              <w:jc w:val="right"/>
              <w:rPr>
                <w:rFonts w:ascii="한컴바탕" w:eastAsia="한컴바탕" w:hAnsi="한컴바탕" w:cs="한컴바탕"/>
                <w:spacing w:val="-6"/>
                <w:szCs w:val="21"/>
                <w:lang w:eastAsia="ko-KR"/>
              </w:rPr>
            </w:pPr>
            <w:r w:rsidRPr="00AD19F1">
              <w:rPr>
                <w:rFonts w:ascii="한컴바탕" w:eastAsia="한컴바탕" w:hAnsi="한컴바탕" w:cs="한컴바탕"/>
                <w:spacing w:val="-6"/>
                <w:szCs w:val="21"/>
                <w:lang w:eastAsia="ko-KR"/>
              </w:rPr>
              <w:t>2016년11월24일</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Default="00DB5008" w:rsidP="00E05766">
            <w:pPr>
              <w:pStyle w:val="a4"/>
              <w:wordWrap w:val="0"/>
              <w:autoSpaceDN w:val="0"/>
              <w:snapToGrid w:val="0"/>
              <w:spacing w:line="290" w:lineRule="atLeast"/>
              <w:rPr>
                <w:rFonts w:ascii="한컴바탕" w:eastAsia="한컴바탕" w:hAnsi="한컴바탕" w:cs="한컴바탕" w:hint="eastAsia"/>
                <w:szCs w:val="21"/>
              </w:rPr>
            </w:pPr>
          </w:p>
          <w:p w:rsidR="00D7274F" w:rsidRDefault="00D7274F" w:rsidP="00E05766">
            <w:pPr>
              <w:pStyle w:val="a4"/>
              <w:wordWrap w:val="0"/>
              <w:autoSpaceDN w:val="0"/>
              <w:snapToGrid w:val="0"/>
              <w:spacing w:line="290" w:lineRule="atLeast"/>
              <w:rPr>
                <w:rFonts w:ascii="한컴바탕" w:eastAsia="한컴바탕" w:hAnsi="한컴바탕" w:cs="한컴바탕" w:hint="eastAsia"/>
                <w:szCs w:val="21"/>
              </w:rPr>
            </w:pPr>
          </w:p>
          <w:p w:rsidR="00AD19F1" w:rsidRPr="005039AD" w:rsidRDefault="00AD19F1" w:rsidP="00AD19F1">
            <w:pPr>
              <w:wordWrap w:val="0"/>
              <w:overflowPunct w:val="0"/>
              <w:topLinePunct/>
              <w:autoSpaceDN w:val="0"/>
              <w:adjustRightInd w:val="0"/>
              <w:snapToGrid w:val="0"/>
              <w:spacing w:line="340" w:lineRule="exact"/>
              <w:jc w:val="left"/>
              <w:rPr>
                <w:rFonts w:ascii="바탕" w:eastAsia="바탕" w:hAnsi="바탕" w:cs="SimSun"/>
                <w:kern w:val="0"/>
                <w:sz w:val="22"/>
                <w:lang w:eastAsia="ko-KR"/>
              </w:rPr>
            </w:pPr>
            <w:r w:rsidRPr="005039AD">
              <w:rPr>
                <w:rFonts w:ascii="바탕" w:eastAsia="바탕" w:hAnsi="바탕" w:cs="SimSun" w:hint="eastAsia"/>
                <w:kern w:val="0"/>
                <w:sz w:val="22"/>
                <w:lang w:eastAsia="ko-KR"/>
              </w:rPr>
              <w:t>첨부:</w:t>
            </w:r>
          </w:p>
          <w:p w:rsidR="00AD19F1" w:rsidRPr="005039AD" w:rsidRDefault="00AD19F1" w:rsidP="00AD19F1">
            <w:pPr>
              <w:wordWrap w:val="0"/>
              <w:overflowPunct w:val="0"/>
              <w:topLinePunct/>
              <w:autoSpaceDN w:val="0"/>
              <w:adjustRightInd w:val="0"/>
              <w:snapToGrid w:val="0"/>
              <w:spacing w:line="340" w:lineRule="exact"/>
              <w:rPr>
                <w:rFonts w:ascii="바탕" w:eastAsia="바탕" w:hAnsi="바탕" w:cs="Tahoma"/>
                <w:color w:val="FF0000"/>
                <w:kern w:val="0"/>
                <w:sz w:val="22"/>
                <w:lang w:eastAsia="ko-KR"/>
              </w:rPr>
            </w:pPr>
            <w:r w:rsidRPr="005039AD">
              <w:rPr>
                <w:rFonts w:ascii="바탕" w:eastAsia="바탕" w:hAnsi="바탕" w:cs="SimSun" w:hint="eastAsia"/>
                <w:kern w:val="0"/>
                <w:sz w:val="22"/>
                <w:lang w:eastAsia="ko-KR"/>
              </w:rPr>
              <w:t>가공무역하의 수입</w:t>
            </w:r>
            <w:r>
              <w:rPr>
                <w:rFonts w:ascii="바탕" w:eastAsia="바탕" w:hAnsi="바탕" w:cs="SimSun" w:hint="eastAsia"/>
                <w:kern w:val="0"/>
                <w:sz w:val="22"/>
                <w:lang w:eastAsia="ko-KR"/>
              </w:rPr>
              <w:t xml:space="preserve"> 소모성 자재</w:t>
            </w:r>
            <w:r w:rsidRPr="005039AD">
              <w:rPr>
                <w:rFonts w:ascii="바탕" w:eastAsia="바탕" w:hAnsi="바탕" w:cs="SimSun" w:hint="eastAsia"/>
                <w:kern w:val="0"/>
                <w:sz w:val="22"/>
                <w:lang w:eastAsia="ko-KR"/>
              </w:rPr>
              <w:t xml:space="preserve"> 신고</w:t>
            </w:r>
            <w:r>
              <w:rPr>
                <w:rFonts w:ascii="바탕" w:eastAsia="바탕" w:hAnsi="바탕" w:cs="SimSun" w:hint="eastAsia"/>
                <w:kern w:val="0"/>
                <w:sz w:val="22"/>
                <w:lang w:eastAsia="ko-KR"/>
              </w:rPr>
              <w:t>표</w:t>
            </w:r>
          </w:p>
          <w:tbl>
            <w:tblPr>
              <w:tblW w:w="3969"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993"/>
              <w:gridCol w:w="850"/>
              <w:gridCol w:w="1276"/>
              <w:gridCol w:w="850"/>
            </w:tblGrid>
            <w:tr w:rsidR="00AD19F1" w:rsidRPr="009F6675" w:rsidTr="00C27DF8">
              <w:trPr>
                <w:trHeight w:val="67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기업명칭</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기업일련번호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lang w:eastAsia="ko-K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주관</w:t>
                  </w:r>
                  <w:r>
                    <w:rPr>
                      <w:rFonts w:ascii="바탕" w:eastAsia="바탕" w:hAnsi="바탕" w:cs="SimSun" w:hint="eastAsia"/>
                      <w:kern w:val="0"/>
                      <w:sz w:val="22"/>
                      <w:lang w:eastAsia="ko-KR"/>
                    </w:rPr>
                    <w:t xml:space="preserve"> </w:t>
                  </w:r>
                  <w:r w:rsidRPr="005039AD">
                    <w:rPr>
                      <w:rFonts w:ascii="바탕" w:eastAsia="바탕" w:hAnsi="바탕" w:cs="SimSun" w:hint="eastAsia"/>
                      <w:kern w:val="0"/>
                      <w:sz w:val="22"/>
                      <w:lang w:eastAsia="ko-KR"/>
                    </w:rPr>
                    <w:t>해관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업종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연락인 및 연락처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lang w:eastAsia="ko-KR"/>
                    </w:rPr>
                  </w:pPr>
                </w:p>
              </w:tc>
            </w:tr>
            <w:tr w:rsidR="00AD19F1" w:rsidRPr="009F6675" w:rsidTr="00C27DF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기업주소</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rPr>
                <w:trHeight w:val="69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수/장부번호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상품유형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rPr>
                <w:trHeight w:val="80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상품명칭</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상품일련번호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lang w:eastAsia="ko-KR"/>
                    </w:rPr>
                  </w:pPr>
                </w:p>
              </w:tc>
            </w:tr>
            <w:tr w:rsidR="00AD19F1" w:rsidRPr="009F6675" w:rsidTr="00C27DF8">
              <w:trPr>
                <w:trHeight w:val="129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lastRenderedPageBreak/>
                    <w:t>규격사이즈</w:t>
                  </w:r>
                </w:p>
                <w:p w:rsidR="00AD19F1" w:rsidRPr="00220CA3" w:rsidRDefault="00AD19F1" w:rsidP="00C27DF8">
                  <w:pPr>
                    <w:wordWrap w:val="0"/>
                    <w:overflowPunct w:val="0"/>
                    <w:topLinePunct/>
                    <w:autoSpaceDN w:val="0"/>
                    <w:adjustRightInd w:val="0"/>
                    <w:snapToGrid w:val="0"/>
                    <w:spacing w:after="200" w:line="340" w:lineRule="exact"/>
                    <w:jc w:val="center"/>
                    <w:rPr>
                      <w:rFonts w:ascii="SimSun" w:hAnsi="SimSun" w:cs="SimSun"/>
                      <w:kern w:val="0"/>
                      <w:sz w:val="22"/>
                      <w:lang w:eastAsia="ko-KR"/>
                    </w:rPr>
                  </w:pPr>
                  <w:r w:rsidRPr="005039AD">
                    <w:rPr>
                      <w:rFonts w:ascii="바탕" w:eastAsia="바탕" w:hAnsi="바탕" w:cs="SimSun" w:hint="eastAsia"/>
                      <w:kern w:val="0"/>
                      <w:sz w:val="22"/>
                      <w:lang w:eastAsia="ko-KR"/>
                    </w:rPr>
                    <w:t>(성분)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rPr>
                      <w:rFonts w:ascii="바탕" w:eastAsia="바탕" w:hAnsi="바탕" w:cs="SimSun"/>
                      <w:kern w:val="0"/>
                      <w:sz w:val="22"/>
                      <w:lang w:eastAsia="ko-KR"/>
                    </w:rPr>
                  </w:pPr>
                  <w:r>
                    <w:rPr>
                      <w:rFonts w:ascii="바탕" w:eastAsia="바탕" w:hAnsi="바탕" w:cs="SimSun" w:hint="eastAsia"/>
                      <w:kern w:val="0"/>
                      <w:sz w:val="22"/>
                      <w:lang w:eastAsia="ko-KR"/>
                    </w:rPr>
                    <w:t>물질</w:t>
                  </w:r>
                  <w:r w:rsidRPr="005039AD">
                    <w:rPr>
                      <w:rFonts w:ascii="바탕" w:eastAsia="바탕" w:hAnsi="바탕" w:cs="SimSun" w:hint="eastAsia"/>
                      <w:kern w:val="0"/>
                      <w:sz w:val="22"/>
                      <w:lang w:eastAsia="ko-KR"/>
                    </w:rPr>
                    <w:t>변화여부</w:t>
                  </w:r>
                  <w:r w:rsidRPr="005039AD">
                    <w:rPr>
                      <w:rFonts w:ascii="바탕" w:eastAsia="바탕" w:hAnsi="바탕" w:cs="SimSun"/>
                      <w:kern w:val="0"/>
                      <w:sz w:val="22"/>
                      <w:lang w:eastAsia="ko-KR"/>
                    </w:rPr>
                    <w:t>,</w:t>
                  </w:r>
                  <w:r w:rsidRPr="005039AD">
                    <w:rPr>
                      <w:rFonts w:ascii="바탕" w:eastAsia="바탕" w:hAnsi="바탕" w:cs="SimSun" w:hint="eastAsia"/>
                      <w:kern w:val="0"/>
                      <w:sz w:val="22"/>
                      <w:lang w:eastAsia="ko-KR"/>
                    </w:rPr>
                    <w:t xml:space="preserve"> 생산필수품</w:t>
                  </w:r>
                  <w:r w:rsidRPr="005039AD">
                    <w:rPr>
                      <w:rFonts w:ascii="바탕" w:eastAsia="바탕" w:hAnsi="바탕" w:cs="SimSun"/>
                      <w:kern w:val="0"/>
                      <w:sz w:val="22"/>
                      <w:lang w:eastAsia="ko-KR"/>
                    </w:rPr>
                    <w:t>,</w:t>
                  </w:r>
                  <w:r w:rsidRPr="005039AD">
                    <w:rPr>
                      <w:rFonts w:ascii="바탕" w:eastAsia="바탕" w:hAnsi="바탕" w:cs="SimSun" w:hint="eastAsia"/>
                      <w:kern w:val="0"/>
                      <w:sz w:val="22"/>
                      <w:lang w:eastAsia="ko-KR"/>
                    </w:rPr>
                    <w:t xml:space="preserve"> </w:t>
                  </w:r>
                  <w:r>
                    <w:rPr>
                      <w:rFonts w:ascii="바탕" w:eastAsia="바탕" w:hAnsi="바탕" w:cs="SimSun" w:hint="eastAsia"/>
                      <w:kern w:val="0"/>
                      <w:sz w:val="22"/>
                      <w:lang w:eastAsia="ko-KR"/>
                    </w:rPr>
                    <w:t>안정적 사용</w:t>
                  </w:r>
                  <w:r w:rsidRPr="005039AD">
                    <w:rPr>
                      <w:rFonts w:ascii="바탕" w:eastAsia="바탕" w:hAnsi="바탕" w:cs="SimSun" w:hint="eastAsia"/>
                      <w:kern w:val="0"/>
                      <w:sz w:val="22"/>
                      <w:lang w:eastAsia="ko-KR"/>
                    </w:rPr>
                    <w:t>여부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lang w:eastAsia="ko-KR"/>
                    </w:rPr>
                  </w:pPr>
                </w:p>
              </w:tc>
            </w:tr>
            <w:tr w:rsidR="00AD19F1" w:rsidRPr="009F6675" w:rsidTr="00C27DF8">
              <w:trPr>
                <w:trHeight w:val="77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Pr>
                      <w:rFonts w:ascii="바탕" w:eastAsia="바탕" w:hAnsi="바탕" w:cs="SimSun" w:hint="eastAsia"/>
                      <w:kern w:val="0"/>
                      <w:sz w:val="22"/>
                      <w:lang w:eastAsia="ko-KR"/>
                    </w:rPr>
                    <w:t>공정흐름</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rPr>
                <w:trHeight w:val="89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작용효과</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rPr>
                <w:trHeight w:val="143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기업설명</w:t>
                  </w:r>
                </w:p>
                <w:p w:rsidR="00AD19F1" w:rsidRPr="00220CA3" w:rsidRDefault="00AD19F1" w:rsidP="00C27DF8">
                  <w:pPr>
                    <w:wordWrap w:val="0"/>
                    <w:overflowPunct w:val="0"/>
                    <w:topLinePunct/>
                    <w:autoSpaceDN w:val="0"/>
                    <w:adjustRightInd w:val="0"/>
                    <w:snapToGrid w:val="0"/>
                    <w:spacing w:after="200" w:line="340" w:lineRule="exact"/>
                    <w:jc w:val="center"/>
                    <w:rPr>
                      <w:rFonts w:ascii="SimSun" w:hAnsi="SimSun" w:cs="SimSun"/>
                      <w:kern w:val="0"/>
                      <w:sz w:val="22"/>
                      <w:lang w:eastAsia="ko-KR"/>
                    </w:rPr>
                  </w:pPr>
                  <w:r w:rsidRPr="005039AD">
                    <w:rPr>
                      <w:rFonts w:ascii="바탕" w:eastAsia="바탕" w:hAnsi="바탕" w:cs="SimSun" w:hint="eastAsia"/>
                      <w:kern w:val="0"/>
                      <w:sz w:val="22"/>
                      <w:lang w:eastAsia="ko-KR"/>
                    </w:rPr>
                    <w:t>(날인)</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r w:rsidR="00AD19F1" w:rsidRPr="009F6675" w:rsidTr="00C27DF8">
              <w:trPr>
                <w:trHeight w:val="13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주관해관의견</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lang w:eastAsia="ko-KR"/>
                    </w:rPr>
                  </w:pPr>
                </w:p>
              </w:tc>
            </w:tr>
            <w:tr w:rsidR="00AD19F1" w:rsidRPr="009F6675" w:rsidTr="00C27DF8">
              <w:trPr>
                <w:trHeight w:val="52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19F1" w:rsidRPr="005039AD" w:rsidRDefault="00AD19F1" w:rsidP="00C27DF8">
                  <w:pPr>
                    <w:wordWrap w:val="0"/>
                    <w:overflowPunct w:val="0"/>
                    <w:topLinePunct/>
                    <w:autoSpaceDN w:val="0"/>
                    <w:adjustRightInd w:val="0"/>
                    <w:snapToGrid w:val="0"/>
                    <w:spacing w:after="200" w:line="340" w:lineRule="exact"/>
                    <w:jc w:val="center"/>
                    <w:rPr>
                      <w:rFonts w:ascii="바탕" w:eastAsia="바탕" w:hAnsi="바탕" w:cs="SimSun"/>
                      <w:kern w:val="0"/>
                      <w:sz w:val="22"/>
                      <w:lang w:eastAsia="ko-KR"/>
                    </w:rPr>
                  </w:pPr>
                  <w:r w:rsidRPr="005039AD">
                    <w:rPr>
                      <w:rFonts w:ascii="바탕" w:eastAsia="바탕" w:hAnsi="바탕" w:cs="SimSun" w:hint="eastAsia"/>
                      <w:kern w:val="0"/>
                      <w:sz w:val="22"/>
                      <w:lang w:eastAsia="ko-KR"/>
                    </w:rPr>
                    <w:t>비고</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19F1" w:rsidRPr="009F6675" w:rsidRDefault="00AD19F1" w:rsidP="00C27DF8">
                  <w:pPr>
                    <w:wordWrap w:val="0"/>
                    <w:overflowPunct w:val="0"/>
                    <w:topLinePunct/>
                    <w:autoSpaceDN w:val="0"/>
                    <w:adjustRightInd w:val="0"/>
                    <w:snapToGrid w:val="0"/>
                    <w:spacing w:after="200" w:line="340" w:lineRule="exact"/>
                    <w:jc w:val="center"/>
                    <w:rPr>
                      <w:rFonts w:ascii="SimSun" w:eastAsia="SimSun" w:hAnsi="SimSun" w:cs="Tahoma"/>
                      <w:kern w:val="0"/>
                      <w:sz w:val="22"/>
                    </w:rPr>
                  </w:pPr>
                </w:p>
              </w:tc>
            </w:tr>
          </w:tbl>
          <w:p w:rsidR="00AD19F1" w:rsidRPr="007B1D46" w:rsidRDefault="00AD19F1" w:rsidP="00E05766">
            <w:pPr>
              <w:pStyle w:val="a4"/>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D19F1" w:rsidRPr="00AD19F1" w:rsidRDefault="00AD19F1" w:rsidP="00AD19F1">
            <w:pPr>
              <w:wordWrap w:val="0"/>
              <w:autoSpaceDE w:val="0"/>
              <w:autoSpaceDN w:val="0"/>
              <w:snapToGrid w:val="0"/>
              <w:spacing w:line="290" w:lineRule="atLeast"/>
              <w:jc w:val="center"/>
              <w:rPr>
                <w:rFonts w:ascii="SimSun" w:eastAsia="SimSun" w:hAnsi="SimSun"/>
                <w:b/>
                <w:spacing w:val="-14"/>
                <w:sz w:val="26"/>
                <w:szCs w:val="26"/>
              </w:rPr>
            </w:pPr>
            <w:r w:rsidRPr="00AD19F1">
              <w:rPr>
                <w:rFonts w:ascii="SimSun" w:eastAsia="SimSun" w:hAnsi="SimSun" w:hint="eastAsia"/>
                <w:b/>
                <w:spacing w:val="-14"/>
                <w:sz w:val="26"/>
                <w:szCs w:val="26"/>
              </w:rPr>
              <w:t>关于规范加工贸易项下进口消耗性物料管理的公告</w:t>
            </w:r>
          </w:p>
          <w:p w:rsidR="00AD19F1" w:rsidRPr="00AD19F1" w:rsidRDefault="00AD19F1" w:rsidP="00AD19F1">
            <w:pPr>
              <w:wordWrap w:val="0"/>
              <w:autoSpaceDE w:val="0"/>
              <w:autoSpaceDN w:val="0"/>
              <w:snapToGrid w:val="0"/>
              <w:spacing w:line="290" w:lineRule="atLeast"/>
              <w:jc w:val="center"/>
              <w:rPr>
                <w:rFonts w:ascii="SimSun" w:eastAsia="SimSun" w:hAnsi="SimSun"/>
                <w:szCs w:val="21"/>
              </w:rPr>
            </w:pPr>
            <w:r w:rsidRPr="00AD19F1">
              <w:rPr>
                <w:rFonts w:ascii="SimSun" w:eastAsia="SimSun" w:hAnsi="SimSun" w:hint="eastAsia"/>
                <w:szCs w:val="21"/>
              </w:rPr>
              <w:t>海关总署公告</w:t>
            </w:r>
            <w:r w:rsidRPr="00AD19F1">
              <w:rPr>
                <w:rFonts w:ascii="SimSun" w:eastAsia="SimSun" w:hAnsi="SimSun"/>
                <w:szCs w:val="21"/>
              </w:rPr>
              <w:t>2016</w:t>
            </w:r>
            <w:r w:rsidRPr="00AD19F1">
              <w:rPr>
                <w:rFonts w:ascii="SimSun" w:eastAsia="SimSun" w:hAnsi="SimSun" w:hint="eastAsia"/>
                <w:szCs w:val="21"/>
              </w:rPr>
              <w:t>年第</w:t>
            </w:r>
            <w:r w:rsidRPr="00AD19F1">
              <w:rPr>
                <w:rFonts w:ascii="SimSun" w:eastAsia="SimSun" w:hAnsi="SimSun"/>
                <w:szCs w:val="21"/>
              </w:rPr>
              <w:t>67</w:t>
            </w:r>
            <w:r w:rsidRPr="00AD19F1">
              <w:rPr>
                <w:rFonts w:ascii="SimSun" w:eastAsia="SimSun" w:hAnsi="SimSun" w:hint="eastAsia"/>
                <w:szCs w:val="21"/>
              </w:rPr>
              <w:t>号</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szCs w:val="21"/>
              </w:rPr>
              <w:t xml:space="preserve"> </w:t>
            </w:r>
          </w:p>
          <w:p w:rsidR="00AD19F1" w:rsidRPr="00AD19F1" w:rsidRDefault="00AD19F1" w:rsidP="00AD19F1">
            <w:pPr>
              <w:wordWrap w:val="0"/>
              <w:autoSpaceDE w:val="0"/>
              <w:autoSpaceDN w:val="0"/>
              <w:snapToGrid w:val="0"/>
              <w:spacing w:line="290" w:lineRule="atLeast"/>
              <w:rPr>
                <w:rFonts w:ascii="SimSun" w:eastAsia="SimSun" w:hAnsi="SimSun"/>
                <w:szCs w:val="21"/>
              </w:rPr>
            </w:pP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为规范、统一对加工贸易项下进口消耗性物料（以下简称“消耗性物料”）的管理，提高监管效能，现就有关事项公告如下：</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一、</w:t>
            </w:r>
            <w:r w:rsidRPr="00AD19F1">
              <w:rPr>
                <w:rFonts w:ascii="SimSun" w:eastAsia="SimSun" w:hAnsi="SimSun" w:hint="eastAsia"/>
                <w:spacing w:val="14"/>
                <w:szCs w:val="21"/>
              </w:rPr>
              <w:t>本公告所称消耗性物料，是指加工贸易企业为加工出口成品而进口，且为加工出口成品所必需，直接用于生产过程，但又完全不物化于成品中的物料。物化是指料件通过物理或化学的方式存在于成品中并构成商品基本特性的转化过程。</w:t>
            </w:r>
            <w:r w:rsidRPr="00AD19F1">
              <w:rPr>
                <w:rFonts w:ascii="SimSun" w:eastAsia="SimSun" w:hAnsi="SimSun"/>
                <w:szCs w:val="21"/>
              </w:rPr>
              <w:t xml:space="preserve"> </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二、海关对消耗性物料按照保税方式进行监管。加工贸易企业进口消耗性物料，不受企业性质、贸易方式（进料加工、来料加工）、是否单独申报进口的限制。</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消耗性物料商品如因动态调整被增列入加工贸易禁止类商品目录的，按加工贸易禁止类商品进行管理，不实行保税监管。</w:t>
            </w:r>
          </w:p>
          <w:p w:rsidR="00AD19F1" w:rsidRPr="00AD19F1" w:rsidRDefault="00AD19F1" w:rsidP="00AD19F1">
            <w:pPr>
              <w:wordWrap w:val="0"/>
              <w:autoSpaceDE w:val="0"/>
              <w:autoSpaceDN w:val="0"/>
              <w:snapToGrid w:val="0"/>
              <w:spacing w:line="290" w:lineRule="atLeast"/>
              <w:rPr>
                <w:rFonts w:ascii="SimSun" w:eastAsia="SimSun" w:hAnsi="SimSun"/>
                <w:spacing w:val="20"/>
                <w:szCs w:val="21"/>
              </w:rPr>
            </w:pPr>
            <w:r w:rsidRPr="00AD19F1">
              <w:rPr>
                <w:rFonts w:ascii="SimSun" w:eastAsia="SimSun" w:hAnsi="SimSun" w:hint="eastAsia"/>
                <w:szCs w:val="21"/>
              </w:rPr>
              <w:t xml:space="preserve">　　</w:t>
            </w:r>
            <w:r w:rsidRPr="00AD19F1">
              <w:rPr>
                <w:rFonts w:ascii="SimSun" w:eastAsia="SimSun" w:hAnsi="SimSun" w:hint="eastAsia"/>
                <w:spacing w:val="20"/>
                <w:szCs w:val="21"/>
              </w:rPr>
              <w:t>消耗性物料或其制成品转为内销的，海关对消耗性物料依法征收税款并且加征缓税利息。消耗性物料属于进口许可证件管理的，企业在内销时应提交进口许可证件。</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三、以下商品不按加工贸易消耗性物料以保税方式进行监管：加工贸易企业生产设备、工具的易损件，如钻头、钻嘴、砂轮、刀片、磨具等；易耗品，如机油、润滑油，印刷用的菲林、</w:t>
            </w:r>
            <w:r w:rsidRPr="00AD19F1">
              <w:rPr>
                <w:rFonts w:ascii="SimSun" w:eastAsia="SimSun" w:hAnsi="SimSun"/>
                <w:szCs w:val="21"/>
              </w:rPr>
              <w:t>PS</w:t>
            </w:r>
            <w:r w:rsidRPr="00AD19F1">
              <w:rPr>
                <w:rFonts w:ascii="SimSun" w:eastAsia="SimSun" w:hAnsi="SimSun" w:hint="eastAsia"/>
                <w:szCs w:val="21"/>
              </w:rPr>
              <w:t>版等；检测物料，如检测纸、检测带、检测光盘、检测针等；劳保防护用品，如工作衣、帽、手套等；印制电路板用的干膜、生产高尔夫球头和飞机发动机叶片用模具所需进口的软金属、蜡、耐火材料等。</w:t>
            </w:r>
          </w:p>
          <w:p w:rsidR="00AD19F1" w:rsidRDefault="00AD19F1" w:rsidP="00AD19F1">
            <w:pPr>
              <w:wordWrap w:val="0"/>
              <w:autoSpaceDE w:val="0"/>
              <w:autoSpaceDN w:val="0"/>
              <w:snapToGrid w:val="0"/>
              <w:spacing w:line="290" w:lineRule="atLeast"/>
              <w:ind w:firstLine="440"/>
              <w:rPr>
                <w:rFonts w:ascii="SimSun" w:eastAsia="SimSun" w:hAnsi="SimSun" w:hint="eastAsia"/>
                <w:spacing w:val="20"/>
                <w:szCs w:val="21"/>
              </w:rPr>
            </w:pPr>
            <w:r w:rsidRPr="00AD19F1">
              <w:rPr>
                <w:rFonts w:ascii="SimSun" w:eastAsia="SimSun" w:hAnsi="SimSun" w:hint="eastAsia"/>
                <w:szCs w:val="21"/>
              </w:rPr>
              <w:t>四、</w:t>
            </w:r>
            <w:r w:rsidRPr="00AD19F1">
              <w:rPr>
                <w:rFonts w:ascii="SimSun" w:eastAsia="SimSun" w:hAnsi="SimSun" w:hint="eastAsia"/>
                <w:spacing w:val="20"/>
                <w:szCs w:val="21"/>
              </w:rPr>
              <w:t>加工贸易项下进口料件同时符合以下条件的，不纳入消耗性物料管理，企业按照保税料件</w:t>
            </w:r>
            <w:r w:rsidRPr="00AD19F1">
              <w:rPr>
                <w:rFonts w:ascii="SimSun" w:eastAsia="SimSun" w:hAnsi="SimSun" w:hint="eastAsia"/>
                <w:spacing w:val="20"/>
                <w:szCs w:val="21"/>
              </w:rPr>
              <w:lastRenderedPageBreak/>
              <w:t>的相关规定办理有关手续：</w:t>
            </w:r>
          </w:p>
          <w:p w:rsidR="00AD19F1" w:rsidRPr="00AD19F1" w:rsidRDefault="00AD19F1" w:rsidP="00AD19F1">
            <w:pPr>
              <w:wordWrap w:val="0"/>
              <w:autoSpaceDE w:val="0"/>
              <w:autoSpaceDN w:val="0"/>
              <w:snapToGrid w:val="0"/>
              <w:spacing w:line="290" w:lineRule="atLeast"/>
              <w:ind w:firstLine="440"/>
              <w:rPr>
                <w:rFonts w:ascii="SimSun" w:eastAsia="SimSun" w:hAnsi="SimSun"/>
                <w:szCs w:val="21"/>
              </w:rPr>
            </w:pP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（一）料件在加工过程中通过物理变化或化学反应存在或转化到成品中；</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（二）料件存在或转化到成品中的量是保持成品性能不可缺少的组成成分，而非残留物。</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五、企业申报保税进口的消耗性物料，应当在《加工贸易企业经营状况和生产能力证明》进口料件中予以列明。企业在办理手（账）册设立（变更）手续时，应当向主管海关提交《加工贸易项下进口消耗性物料申报表》（详见附件），申报内容应当完整。如海关需要，企业还应当提交以下补充材料：</w:t>
            </w:r>
          </w:p>
          <w:p w:rsidR="00AD19F1" w:rsidRPr="00AD19F1" w:rsidRDefault="00AD19F1" w:rsidP="00AD19F1">
            <w:pPr>
              <w:wordWrap w:val="0"/>
              <w:autoSpaceDE w:val="0"/>
              <w:autoSpaceDN w:val="0"/>
              <w:snapToGrid w:val="0"/>
              <w:spacing w:line="290" w:lineRule="atLeast"/>
              <w:rPr>
                <w:rFonts w:ascii="SimSun" w:eastAsia="SimSun" w:hAnsi="SimSun"/>
                <w:spacing w:val="-12"/>
                <w:szCs w:val="21"/>
              </w:rPr>
            </w:pPr>
            <w:r w:rsidRPr="00AD19F1">
              <w:rPr>
                <w:rFonts w:ascii="SimSun" w:eastAsia="SimSun" w:hAnsi="SimSun" w:hint="eastAsia"/>
                <w:szCs w:val="21"/>
              </w:rPr>
              <w:t xml:space="preserve">　　（一）</w:t>
            </w:r>
            <w:r w:rsidRPr="00AD19F1">
              <w:rPr>
                <w:rFonts w:ascii="SimSun" w:eastAsia="SimSun" w:hAnsi="SimSun" w:hint="eastAsia"/>
                <w:spacing w:val="-12"/>
                <w:szCs w:val="21"/>
              </w:rPr>
              <w:t>消耗性物料的属性和用途说明；</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（二）消耗性物料在加工过程中的化学反应或物理变化原理、化学反应式、耗用量以及与成品的匹配关系等书面材料；</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（三）海关认为需要提交的其他证明文件和材料。</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六、消耗性物料应当与相应加工生产过程的进口料件、出口成品纳入同一手（账）册管理。企业应在手（账）册设立（变更）环节按要求向海关申报。企业在申报消耗性物料时应当进行标识，在“商品名称”栏首字节起注明“</w:t>
            </w:r>
            <w:r w:rsidRPr="00AD19F1">
              <w:rPr>
                <w:rFonts w:ascii="SimSun" w:eastAsia="SimSun" w:hAnsi="SimSun"/>
                <w:szCs w:val="21"/>
              </w:rPr>
              <w:t>[</w:t>
            </w:r>
            <w:r w:rsidRPr="00AD19F1">
              <w:rPr>
                <w:rFonts w:ascii="SimSun" w:eastAsia="SimSun" w:hAnsi="SimSun" w:hint="eastAsia"/>
                <w:szCs w:val="21"/>
              </w:rPr>
              <w:t>消</w:t>
            </w:r>
            <w:r w:rsidRPr="00AD19F1">
              <w:rPr>
                <w:rFonts w:ascii="SimSun" w:eastAsia="SimSun" w:hAnsi="SimSun"/>
                <w:szCs w:val="21"/>
              </w:rPr>
              <w:t>]”（</w:t>
            </w:r>
            <w:r w:rsidRPr="00AD19F1">
              <w:rPr>
                <w:rFonts w:ascii="SimSun" w:eastAsia="SimSun" w:hAnsi="SimSun" w:hint="eastAsia"/>
                <w:szCs w:val="21"/>
              </w:rPr>
              <w:t>注：中括号为半角字符）；在“单耗</w:t>
            </w:r>
            <w:r w:rsidRPr="00AD19F1">
              <w:rPr>
                <w:rFonts w:ascii="SimSun" w:eastAsia="SimSun" w:hAnsi="SimSun"/>
                <w:szCs w:val="21"/>
              </w:rPr>
              <w:t>/</w:t>
            </w:r>
            <w:r w:rsidRPr="00AD19F1">
              <w:rPr>
                <w:rFonts w:ascii="SimSun" w:eastAsia="SimSun" w:hAnsi="SimSun" w:hint="eastAsia"/>
                <w:szCs w:val="21"/>
              </w:rPr>
              <w:t>净耗”栏目内如实申报耗用量。</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消耗性物料应当与其他保税料件分项申报，不得归并。</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七、消耗性物料的管理遵循如实申报、据实核销的原则。</w:t>
            </w:r>
          </w:p>
          <w:p w:rsidR="00AD19F1" w:rsidRPr="00AD19F1" w:rsidRDefault="00AD19F1" w:rsidP="00AD19F1">
            <w:pPr>
              <w:wordWrap w:val="0"/>
              <w:autoSpaceDE w:val="0"/>
              <w:autoSpaceDN w:val="0"/>
              <w:snapToGrid w:val="0"/>
              <w:spacing w:line="290" w:lineRule="atLeast"/>
              <w:rPr>
                <w:rFonts w:ascii="SimSun" w:eastAsia="SimSun" w:hAnsi="SimSun"/>
                <w:spacing w:val="14"/>
                <w:szCs w:val="21"/>
              </w:rPr>
            </w:pPr>
            <w:r w:rsidRPr="00AD19F1">
              <w:rPr>
                <w:rFonts w:ascii="SimSun" w:eastAsia="SimSun" w:hAnsi="SimSun" w:hint="eastAsia"/>
                <w:szCs w:val="21"/>
              </w:rPr>
              <w:t xml:space="preserve">　　</w:t>
            </w:r>
            <w:r w:rsidRPr="00AD19F1">
              <w:rPr>
                <w:rFonts w:ascii="SimSun" w:eastAsia="SimSun" w:hAnsi="SimSun" w:hint="eastAsia"/>
                <w:spacing w:val="14"/>
                <w:szCs w:val="21"/>
              </w:rPr>
              <w:t>企业应当结合生产实际核定耗用量并按加工贸易手（账）册有关规定要求的报核时间完成向海关报核。</w:t>
            </w:r>
          </w:p>
          <w:p w:rsidR="00AD19F1" w:rsidRPr="00AD19F1" w:rsidRDefault="00AD19F1" w:rsidP="00AD19F1">
            <w:pPr>
              <w:wordWrap w:val="0"/>
              <w:autoSpaceDE w:val="0"/>
              <w:autoSpaceDN w:val="0"/>
              <w:snapToGrid w:val="0"/>
              <w:spacing w:line="290" w:lineRule="atLeast"/>
              <w:rPr>
                <w:rFonts w:ascii="SimSun" w:eastAsia="SimSun" w:hAnsi="SimSun"/>
                <w:spacing w:val="20"/>
                <w:szCs w:val="21"/>
              </w:rPr>
            </w:pPr>
            <w:r w:rsidRPr="00AD19F1">
              <w:rPr>
                <w:rFonts w:ascii="SimSun" w:eastAsia="SimSun" w:hAnsi="SimSun" w:hint="eastAsia"/>
                <w:szCs w:val="21"/>
              </w:rPr>
              <w:t xml:space="preserve">　　</w:t>
            </w:r>
            <w:r w:rsidRPr="00AD19F1">
              <w:rPr>
                <w:rFonts w:ascii="SimSun" w:eastAsia="SimSun" w:hAnsi="SimSun" w:hint="eastAsia"/>
                <w:spacing w:val="20"/>
                <w:szCs w:val="21"/>
              </w:rPr>
              <w:t>海关认为有必要时可通过实地核查等方式对企业所申报数据进行核对、验证，企业应当积极配合并按海关要求提供相关证明材料。</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企业对消耗性物料的后续处置参照《中华人民共和国海关关于加工贸易边</w:t>
            </w:r>
            <w:r w:rsidRPr="00AD19F1">
              <w:rPr>
                <w:rFonts w:ascii="SimSun" w:eastAsia="SimSun" w:hAnsi="SimSun" w:hint="eastAsia"/>
                <w:szCs w:val="21"/>
              </w:rPr>
              <w:lastRenderedPageBreak/>
              <w:t>角料、剩余料件、残次品、副产品和受灾保税货物的管理办法》（海关总署令第</w:t>
            </w:r>
            <w:r w:rsidRPr="00AD19F1">
              <w:rPr>
                <w:rFonts w:ascii="SimSun" w:eastAsia="SimSun" w:hAnsi="SimSun"/>
                <w:szCs w:val="21"/>
              </w:rPr>
              <w:t>111</w:t>
            </w:r>
            <w:r w:rsidRPr="00AD19F1">
              <w:rPr>
                <w:rFonts w:ascii="SimSun" w:eastAsia="SimSun" w:hAnsi="SimSun" w:hint="eastAsia"/>
                <w:szCs w:val="21"/>
              </w:rPr>
              <w:t>号公布，海关总署令第</w:t>
            </w:r>
            <w:r w:rsidRPr="00AD19F1">
              <w:rPr>
                <w:rFonts w:ascii="SimSun" w:eastAsia="SimSun" w:hAnsi="SimSun"/>
                <w:szCs w:val="21"/>
              </w:rPr>
              <w:t>218</w:t>
            </w:r>
            <w:r w:rsidRPr="00AD19F1">
              <w:rPr>
                <w:rFonts w:ascii="SimSun" w:eastAsia="SimSun" w:hAnsi="SimSun" w:hint="eastAsia"/>
                <w:szCs w:val="21"/>
              </w:rPr>
              <w:t>号修订）有关管理规定办理。</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八、</w:t>
            </w:r>
            <w:r w:rsidRPr="00AD19F1">
              <w:rPr>
                <w:rFonts w:ascii="SimSun" w:eastAsia="SimSun" w:hAnsi="SimSun" w:hint="eastAsia"/>
                <w:spacing w:val="10"/>
                <w:szCs w:val="21"/>
              </w:rPr>
              <w:t>海关特殊监管区域内企业进口消耗性物料，实行保税监管。上述物料或其制成品销往境内区外，企业应当按规定缴纳税款并办理进口手续，涉及进口许可证件管理的应当提交有关证件。</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九、本公告自</w:t>
            </w:r>
            <w:r w:rsidRPr="00AD19F1">
              <w:rPr>
                <w:rFonts w:ascii="SimSun" w:eastAsia="SimSun" w:hAnsi="SimSun"/>
                <w:szCs w:val="21"/>
              </w:rPr>
              <w:t>2017</w:t>
            </w:r>
            <w:r w:rsidRPr="00AD19F1">
              <w:rPr>
                <w:rFonts w:ascii="SimSun" w:eastAsia="SimSun" w:hAnsi="SimSun" w:hint="eastAsia"/>
                <w:szCs w:val="21"/>
              </w:rPr>
              <w:t>年</w:t>
            </w:r>
            <w:r w:rsidRPr="00AD19F1">
              <w:rPr>
                <w:rFonts w:ascii="SimSun" w:eastAsia="SimSun" w:hAnsi="SimSun"/>
                <w:szCs w:val="21"/>
              </w:rPr>
              <w:t>1</w:t>
            </w:r>
            <w:r w:rsidRPr="00AD19F1">
              <w:rPr>
                <w:rFonts w:ascii="SimSun" w:eastAsia="SimSun" w:hAnsi="SimSun" w:hint="eastAsia"/>
                <w:szCs w:val="21"/>
              </w:rPr>
              <w:t>月</w:t>
            </w:r>
            <w:r w:rsidRPr="00AD19F1">
              <w:rPr>
                <w:rFonts w:ascii="SimSun" w:eastAsia="SimSun" w:hAnsi="SimSun"/>
                <w:szCs w:val="21"/>
              </w:rPr>
              <w:t>1</w:t>
            </w:r>
            <w:r w:rsidRPr="00AD19F1">
              <w:rPr>
                <w:rFonts w:ascii="SimSun" w:eastAsia="SimSun" w:hAnsi="SimSun" w:hint="eastAsia"/>
                <w:szCs w:val="21"/>
              </w:rPr>
              <w:t>日起施行。海关总署公告</w:t>
            </w:r>
            <w:r w:rsidRPr="00AD19F1">
              <w:rPr>
                <w:rFonts w:ascii="SimSun" w:eastAsia="SimSun" w:hAnsi="SimSun"/>
                <w:szCs w:val="21"/>
              </w:rPr>
              <w:t>2011</w:t>
            </w:r>
            <w:r w:rsidRPr="00AD19F1">
              <w:rPr>
                <w:rFonts w:ascii="SimSun" w:eastAsia="SimSun" w:hAnsi="SimSun" w:hint="eastAsia"/>
                <w:szCs w:val="21"/>
              </w:rPr>
              <w:t>年第</w:t>
            </w:r>
            <w:r w:rsidRPr="00AD19F1">
              <w:rPr>
                <w:rFonts w:ascii="SimSun" w:eastAsia="SimSun" w:hAnsi="SimSun"/>
                <w:szCs w:val="21"/>
              </w:rPr>
              <w:t>2</w:t>
            </w:r>
            <w:r w:rsidRPr="00AD19F1">
              <w:rPr>
                <w:rFonts w:ascii="SimSun" w:eastAsia="SimSun" w:hAnsi="SimSun" w:hint="eastAsia"/>
                <w:szCs w:val="21"/>
              </w:rPr>
              <w:t>号自本公告施行之日起停止执行。</w:t>
            </w: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hint="eastAsia"/>
                <w:szCs w:val="21"/>
              </w:rPr>
              <w:t xml:space="preserve">　　特此公告。</w:t>
            </w:r>
          </w:p>
          <w:p w:rsidR="00AD19F1" w:rsidRPr="00AD19F1" w:rsidRDefault="00AD19F1" w:rsidP="00AD19F1">
            <w:pPr>
              <w:wordWrap w:val="0"/>
              <w:autoSpaceDE w:val="0"/>
              <w:autoSpaceDN w:val="0"/>
              <w:snapToGrid w:val="0"/>
              <w:spacing w:line="290" w:lineRule="atLeast"/>
              <w:rPr>
                <w:rFonts w:ascii="SimSun" w:eastAsia="SimSun" w:hAnsi="SimSun"/>
                <w:szCs w:val="21"/>
              </w:rPr>
            </w:pPr>
          </w:p>
          <w:p w:rsidR="00AD19F1" w:rsidRPr="00AD19F1" w:rsidRDefault="00AD19F1" w:rsidP="00AD19F1">
            <w:pPr>
              <w:wordWrap w:val="0"/>
              <w:autoSpaceDE w:val="0"/>
              <w:autoSpaceDN w:val="0"/>
              <w:snapToGrid w:val="0"/>
              <w:spacing w:line="290" w:lineRule="atLeast"/>
              <w:rPr>
                <w:rFonts w:ascii="SimSun" w:eastAsia="SimSun" w:hAnsi="SimSun"/>
                <w:szCs w:val="21"/>
              </w:rPr>
            </w:pPr>
            <w:r w:rsidRPr="00AD19F1">
              <w:rPr>
                <w:rFonts w:ascii="SimSun" w:eastAsia="SimSun" w:hAnsi="SimSun"/>
                <w:szCs w:val="21"/>
              </w:rPr>
              <w:t xml:space="preserve">        </w:t>
            </w:r>
            <w:r w:rsidRPr="00AD19F1">
              <w:rPr>
                <w:rFonts w:ascii="SimSun" w:eastAsia="SimSun" w:hAnsi="SimSun" w:hint="eastAsia"/>
                <w:szCs w:val="21"/>
              </w:rPr>
              <w:t>附件：加工贸易项下进口消耗性物料申报表</w:t>
            </w:r>
          </w:p>
          <w:p w:rsidR="00AD19F1" w:rsidRPr="00AD19F1" w:rsidRDefault="00AD19F1" w:rsidP="00AD19F1">
            <w:pPr>
              <w:wordWrap w:val="0"/>
              <w:autoSpaceDE w:val="0"/>
              <w:autoSpaceDN w:val="0"/>
              <w:snapToGrid w:val="0"/>
              <w:spacing w:line="290" w:lineRule="atLeast"/>
              <w:rPr>
                <w:rFonts w:ascii="SimSun" w:eastAsia="SimSun" w:hAnsi="SimSun"/>
                <w:szCs w:val="21"/>
              </w:rPr>
            </w:pPr>
          </w:p>
          <w:p w:rsidR="00AD19F1" w:rsidRPr="00AD19F1" w:rsidRDefault="00AD19F1" w:rsidP="00AD19F1">
            <w:pPr>
              <w:wordWrap w:val="0"/>
              <w:autoSpaceDE w:val="0"/>
              <w:autoSpaceDN w:val="0"/>
              <w:snapToGrid w:val="0"/>
              <w:spacing w:line="290" w:lineRule="atLeast"/>
              <w:jc w:val="right"/>
              <w:rPr>
                <w:rFonts w:ascii="SimSun" w:eastAsia="SimSun" w:hAnsi="SimSun"/>
                <w:szCs w:val="21"/>
              </w:rPr>
            </w:pPr>
            <w:r w:rsidRPr="00AD19F1">
              <w:rPr>
                <w:rFonts w:ascii="SimSun" w:eastAsia="SimSun" w:hAnsi="SimSun" w:hint="eastAsia"/>
                <w:szCs w:val="21"/>
              </w:rPr>
              <w:t>海关总署</w:t>
            </w:r>
          </w:p>
          <w:p w:rsidR="00F6633C" w:rsidRPr="00F6633C" w:rsidRDefault="00AD19F1" w:rsidP="00AD19F1">
            <w:pPr>
              <w:wordWrap w:val="0"/>
              <w:autoSpaceDE w:val="0"/>
              <w:autoSpaceDN w:val="0"/>
              <w:snapToGrid w:val="0"/>
              <w:spacing w:line="290" w:lineRule="atLeast"/>
              <w:jc w:val="right"/>
              <w:rPr>
                <w:rFonts w:ascii="SimSun" w:eastAsia="SimSun" w:hAnsi="SimSun"/>
                <w:szCs w:val="21"/>
              </w:rPr>
            </w:pPr>
            <w:r w:rsidRPr="00AD19F1">
              <w:rPr>
                <w:rFonts w:ascii="SimSun" w:eastAsia="SimSun" w:hAnsi="SimSun" w:hint="eastAsia"/>
                <w:szCs w:val="21"/>
              </w:rPr>
              <w:t xml:space="preserve">　　</w:t>
            </w:r>
            <w:r w:rsidRPr="00AD19F1">
              <w:rPr>
                <w:rFonts w:ascii="SimSun" w:eastAsia="SimSun" w:hAnsi="SimSun"/>
                <w:szCs w:val="21"/>
              </w:rPr>
              <w:t>2016</w:t>
            </w:r>
            <w:r w:rsidRPr="00AD19F1">
              <w:rPr>
                <w:rFonts w:ascii="SimSun" w:eastAsia="SimSun" w:hAnsi="SimSun" w:hint="eastAsia"/>
                <w:szCs w:val="21"/>
              </w:rPr>
              <w:t>年</w:t>
            </w:r>
            <w:r w:rsidRPr="00AD19F1">
              <w:rPr>
                <w:rFonts w:ascii="SimSun" w:eastAsia="SimSun" w:hAnsi="SimSun"/>
                <w:szCs w:val="21"/>
              </w:rPr>
              <w:t>11</w:t>
            </w:r>
            <w:r w:rsidRPr="00AD19F1">
              <w:rPr>
                <w:rFonts w:ascii="SimSun" w:eastAsia="SimSun" w:hAnsi="SimSun" w:hint="eastAsia"/>
                <w:szCs w:val="21"/>
              </w:rPr>
              <w:t>月</w:t>
            </w:r>
            <w:r w:rsidRPr="00AD19F1">
              <w:rPr>
                <w:rFonts w:ascii="SimSun" w:eastAsia="SimSun" w:hAnsi="SimSun"/>
                <w:szCs w:val="21"/>
              </w:rPr>
              <w:t>24</w:t>
            </w:r>
            <w:r w:rsidRPr="00AD19F1">
              <w:rPr>
                <w:rFonts w:ascii="SimSun" w:eastAsia="SimSun" w:hAnsi="SimSun" w:hint="eastAsia"/>
                <w:szCs w:val="21"/>
              </w:rPr>
              <w:t>日</w:t>
            </w:r>
          </w:p>
          <w:p w:rsidR="00F6633C" w:rsidRDefault="00F6633C" w:rsidP="00AD19F1">
            <w:pPr>
              <w:wordWrap w:val="0"/>
              <w:autoSpaceDE w:val="0"/>
              <w:autoSpaceDN w:val="0"/>
              <w:snapToGrid w:val="0"/>
              <w:spacing w:line="290" w:lineRule="atLeast"/>
              <w:rPr>
                <w:rFonts w:ascii="SimSun" w:eastAsia="SimSun" w:hAnsi="SimSun" w:hint="eastAsia"/>
                <w:szCs w:val="21"/>
              </w:rPr>
            </w:pPr>
            <w:r w:rsidRPr="00F6633C">
              <w:rPr>
                <w:rFonts w:ascii="SimSun" w:eastAsia="SimSun" w:hAnsi="SimSun" w:hint="eastAsia"/>
                <w:szCs w:val="21"/>
              </w:rPr>
              <w:t xml:space="preserve">　　</w:t>
            </w:r>
          </w:p>
          <w:p w:rsidR="00D7274F" w:rsidRPr="00F6633C" w:rsidRDefault="00D7274F" w:rsidP="00AD19F1">
            <w:pPr>
              <w:wordWrap w:val="0"/>
              <w:autoSpaceDE w:val="0"/>
              <w:autoSpaceDN w:val="0"/>
              <w:snapToGrid w:val="0"/>
              <w:spacing w:line="290" w:lineRule="atLeast"/>
              <w:rPr>
                <w:rFonts w:ascii="SimSun" w:eastAsia="SimSun" w:hAnsi="SimSun"/>
                <w:szCs w:val="21"/>
              </w:rPr>
            </w:pPr>
          </w:p>
          <w:p w:rsidR="00AD19F1" w:rsidRPr="00CD5FBC" w:rsidRDefault="00AD19F1" w:rsidP="00D7274F">
            <w:pPr>
              <w:widowControl/>
              <w:autoSpaceDE w:val="0"/>
              <w:adjustRightInd w:val="0"/>
              <w:snapToGrid w:val="0"/>
              <w:jc w:val="left"/>
              <w:rPr>
                <w:rFonts w:ascii="方正黑体_GBK" w:eastAsia="方正黑体_GBK" w:hAnsi="SimSun" w:cs="SimSun"/>
                <w:kern w:val="0"/>
                <w:szCs w:val="21"/>
              </w:rPr>
            </w:pPr>
            <w:r w:rsidRPr="00CD5FBC">
              <w:rPr>
                <w:rFonts w:ascii="方正黑体_GBK" w:eastAsia="方正黑体_GBK" w:hAnsi="SimSun" w:cs="SimSun" w:hint="eastAsia"/>
                <w:kern w:val="0"/>
                <w:szCs w:val="21"/>
              </w:rPr>
              <w:t>附件</w:t>
            </w:r>
            <w:r>
              <w:rPr>
                <w:rFonts w:ascii="方正黑体_GBK" w:eastAsia="方正黑体_GBK" w:hAnsi="SimSun" w:cs="SimSun" w:hint="eastAsia"/>
                <w:kern w:val="0"/>
                <w:szCs w:val="21"/>
              </w:rPr>
              <w:t>：</w:t>
            </w:r>
          </w:p>
          <w:p w:rsidR="00AD19F1" w:rsidRPr="00D7274F" w:rsidRDefault="00AD19F1" w:rsidP="00D7274F">
            <w:pPr>
              <w:widowControl/>
              <w:autoSpaceDE w:val="0"/>
              <w:adjustRightInd w:val="0"/>
              <w:snapToGrid w:val="0"/>
              <w:rPr>
                <w:rFonts w:ascii="SimSun" w:eastAsia="SimSun" w:hAnsi="SimSun" w:cs="Tahoma"/>
                <w:color w:val="FF0000"/>
                <w:kern w:val="0"/>
                <w:szCs w:val="21"/>
              </w:rPr>
            </w:pPr>
            <w:r w:rsidRPr="00D7274F">
              <w:rPr>
                <w:rFonts w:ascii="SimSun" w:eastAsia="SimSun" w:hAnsi="SimSun" w:cs="SimSun" w:hint="eastAsia"/>
                <w:kern w:val="0"/>
                <w:szCs w:val="21"/>
              </w:rPr>
              <w:t>加工贸易项下进口消耗性物料申报表</w:t>
            </w:r>
          </w:p>
          <w:tbl>
            <w:tblPr>
              <w:tblW w:w="3369" w:type="dxa"/>
              <w:tblBorders>
                <w:top w:val="single" w:sz="4" w:space="0" w:color="000000"/>
                <w:left w:val="single" w:sz="4" w:space="0" w:color="000000"/>
                <w:bottom w:val="single" w:sz="4" w:space="0" w:color="000000"/>
                <w:right w:val="single" w:sz="4" w:space="0" w:color="000000"/>
              </w:tblBorders>
              <w:tblLayout w:type="fixed"/>
              <w:tblLook w:val="04A0"/>
            </w:tblPr>
            <w:tblGrid>
              <w:gridCol w:w="817"/>
              <w:gridCol w:w="709"/>
              <w:gridCol w:w="992"/>
              <w:gridCol w:w="851"/>
            </w:tblGrid>
            <w:tr w:rsidR="00AD19F1" w:rsidRPr="00D7274F" w:rsidTr="00D7274F">
              <w:trPr>
                <w:trHeight w:val="903"/>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企业名称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企业编码</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主管海关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行业</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联系人及联系电话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企业地址</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694"/>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手</w:t>
                  </w:r>
                  <w:r w:rsidRPr="00D7274F">
                    <w:rPr>
                      <w:rFonts w:ascii="SimSun" w:eastAsia="SimSun" w:hAnsi="SimSun" w:cs="Tahoma"/>
                      <w:kern w:val="0"/>
                      <w:sz w:val="18"/>
                      <w:szCs w:val="18"/>
                    </w:rPr>
                    <w:t>/</w:t>
                  </w:r>
                  <w:r w:rsidRPr="00D7274F">
                    <w:rPr>
                      <w:rFonts w:ascii="SimSun" w:eastAsia="SimSun" w:hAnsi="SimSun" w:cs="SimSun" w:hint="eastAsia"/>
                      <w:kern w:val="0"/>
                      <w:sz w:val="18"/>
                      <w:szCs w:val="18"/>
                    </w:rPr>
                    <w:t>账</w:t>
                  </w:r>
                  <w:r w:rsidRPr="00D7274F">
                    <w:rPr>
                      <w:rFonts w:ascii="SimSun" w:eastAsia="SimSun" w:hAnsi="SimSun" w:cs="SimSun" w:hint="eastAsia"/>
                      <w:kern w:val="0"/>
                      <w:sz w:val="18"/>
                      <w:szCs w:val="18"/>
                    </w:rPr>
                    <w:lastRenderedPageBreak/>
                    <w:t>册号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商品类别</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805"/>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lastRenderedPageBreak/>
                    <w:t>商品名称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商品编码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1293"/>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规格型号</w:t>
                  </w:r>
                </w:p>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（成份）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是否物化、生产必需、耗用是否稳定</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775"/>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工序流程</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890"/>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作用效果</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1430"/>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企业说明（盖章）</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1340"/>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主管海关意见</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r w:rsidR="00AD19F1" w:rsidRPr="00D7274F" w:rsidTr="00C27DF8">
              <w:trPr>
                <w:trHeight w:val="520"/>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AD19F1" w:rsidRPr="00D7274F" w:rsidRDefault="00AD19F1" w:rsidP="00C27DF8">
                  <w:pPr>
                    <w:widowControl/>
                    <w:autoSpaceDE w:val="0"/>
                    <w:adjustRightInd w:val="0"/>
                    <w:snapToGrid w:val="0"/>
                    <w:spacing w:after="200" w:line="560" w:lineRule="exact"/>
                    <w:jc w:val="left"/>
                    <w:rPr>
                      <w:rFonts w:ascii="SimSun" w:eastAsia="SimSun" w:hAnsi="SimSun" w:cs="SimSun"/>
                      <w:kern w:val="0"/>
                      <w:sz w:val="18"/>
                      <w:szCs w:val="18"/>
                    </w:rPr>
                  </w:pPr>
                  <w:r w:rsidRPr="00D7274F">
                    <w:rPr>
                      <w:rFonts w:ascii="SimSun" w:eastAsia="SimSun" w:hAnsi="SimSun" w:cs="SimSun" w:hint="eastAsia"/>
                      <w:kern w:val="0"/>
                      <w:sz w:val="18"/>
                      <w:szCs w:val="18"/>
                    </w:rPr>
                    <w:t>备注</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AD19F1" w:rsidRPr="00D7274F" w:rsidRDefault="00AD19F1" w:rsidP="00C27DF8">
                  <w:pPr>
                    <w:widowControl/>
                    <w:autoSpaceDE w:val="0"/>
                    <w:adjustRightInd w:val="0"/>
                    <w:snapToGrid w:val="0"/>
                    <w:spacing w:after="200" w:line="560" w:lineRule="exact"/>
                    <w:jc w:val="left"/>
                    <w:rPr>
                      <w:rFonts w:ascii="SimSun" w:eastAsia="SimSun" w:hAnsi="SimSun" w:cs="Tahoma"/>
                      <w:kern w:val="0"/>
                      <w:sz w:val="18"/>
                      <w:szCs w:val="18"/>
                    </w:rPr>
                  </w:pPr>
                </w:p>
              </w:tc>
            </w:tr>
          </w:tbl>
          <w:p w:rsidR="007A34FC" w:rsidRPr="00F6633C" w:rsidRDefault="007A34FC" w:rsidP="00D44DCD">
            <w:pPr>
              <w:wordWrap w:val="0"/>
              <w:autoSpaceDE w:val="0"/>
              <w:autoSpaceDN w:val="0"/>
              <w:snapToGrid w:val="0"/>
              <w:spacing w:line="290" w:lineRule="atLeast"/>
              <w:jc w:val="lef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4AF" w:rsidRDefault="009964AF" w:rsidP="00C278F4">
      <w:r>
        <w:separator/>
      </w:r>
    </w:p>
  </w:endnote>
  <w:endnote w:type="continuationSeparator" w:id="1">
    <w:p w:rsidR="009964AF" w:rsidRDefault="009964A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4AF" w:rsidRDefault="009964AF" w:rsidP="00C278F4">
      <w:r>
        <w:separator/>
      </w:r>
    </w:p>
  </w:footnote>
  <w:footnote w:type="continuationSeparator" w:id="1">
    <w:p w:rsidR="009964AF" w:rsidRDefault="009964A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C1364"/>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964AF"/>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19F1"/>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7274F"/>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653</Words>
  <Characters>3728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2016-12-27T02:49:00Z</dcterms:modified>
</cp:coreProperties>
</file>