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92B4B" w:rsidRPr="00E92B4B" w:rsidTr="00E92B4B">
        <w:tc>
          <w:tcPr>
            <w:tcW w:w="4785" w:type="dxa"/>
          </w:tcPr>
          <w:p w:rsidR="00574175" w:rsidRPr="00574175" w:rsidRDefault="00574175" w:rsidP="00DE5F5F">
            <w:pPr>
              <w:wordWrap w:val="0"/>
              <w:autoSpaceDN w:val="0"/>
              <w:spacing w:line="320" w:lineRule="exact"/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b/>
                <w:sz w:val="26"/>
                <w:szCs w:val="26"/>
                <w:shd w:val="clear" w:color="auto" w:fill="FFFFFF"/>
                <w:lang w:eastAsia="ko-KR"/>
              </w:rPr>
              <w:t>2016년 관세 조정방안에 관한 통지</w:t>
            </w:r>
          </w:p>
          <w:p w:rsidR="00574175" w:rsidRPr="00574175" w:rsidRDefault="00574175" w:rsidP="00DE5F5F">
            <w:pPr>
              <w:wordWrap w:val="0"/>
              <w:autoSpaceDN w:val="0"/>
              <w:spacing w:line="320" w:lineRule="exact"/>
              <w:ind w:firstLineChars="200" w:firstLine="420"/>
              <w:jc w:val="center"/>
              <w:rPr>
                <w:rFonts w:ascii="한컴바탕" w:eastAsia="한컴바탕" w:hAnsi="한컴바탕" w:cs="한컴바탕"/>
                <w:szCs w:val="21"/>
                <w:shd w:val="clear" w:color="auto" w:fill="FFFFFF"/>
                <w:lang w:eastAsia="ko-KR"/>
              </w:rPr>
            </w:pP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세위회</w:t>
            </w:r>
            <w:proofErr w:type="spellEnd"/>
            <w:r w:rsidRPr="00574175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[2015]23호</w:t>
            </w:r>
          </w:p>
          <w:p w:rsidR="00574175" w:rsidRPr="00565D16" w:rsidRDefault="00574175" w:rsidP="00574175">
            <w:pPr>
              <w:wordWrap w:val="0"/>
              <w:topLinePunct/>
              <w:snapToGrid w:val="0"/>
              <w:spacing w:line="360" w:lineRule="auto"/>
              <w:rPr>
                <w:rFonts w:ascii="Gulim" w:eastAsia="Gulim" w:hAnsi="Gulim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 :</w:t>
            </w:r>
            <w:proofErr w:type="gramEnd"/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&lt;2016년 관세 조정방안&gt;이 국무원 관세세칙위원회 제6차 전체회의에서 </w:t>
            </w: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심의통과되어</w:t>
            </w:r>
            <w:proofErr w:type="spell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국무원의 승인을 </w:t>
            </w: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득하였는</w:t>
            </w:r>
            <w:proofErr w:type="spell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바 2016년 1월 1일부터 실시한다.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통지한다.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 :</w:t>
            </w:r>
            <w:proofErr w:type="gram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2016년 관세 조정방안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국무원관세세칙위원회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2015년 12월 4일 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 :</w:t>
            </w:r>
            <w:proofErr w:type="gramEnd"/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2016년 관세 조정방안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D02BF1" w:rsidRDefault="00D02BF1" w:rsidP="00D02BF1">
            <w:pPr>
              <w:wordWrap w:val="0"/>
              <w:topLinePunct/>
              <w:autoSpaceDN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2BF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574175" w:rsidRPr="00D02BF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수입관세 세율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최혜국 </w:t>
            </w:r>
            <w:proofErr w:type="gramStart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잠정세율 :</w:t>
            </w:r>
            <w:proofErr w:type="gramEnd"/>
          </w:p>
          <w:p w:rsidR="00574175" w:rsidRPr="00DE5F5F" w:rsidRDefault="00574175" w:rsidP="00DE5F5F">
            <w:pPr>
              <w:wordWrap w:val="0"/>
              <w:topLinePunct/>
              <w:autoSpaceDN w:val="0"/>
              <w:spacing w:line="290" w:lineRule="atLeast"/>
              <w:ind w:firstLineChars="200"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2015년 실시한 잠정세율에 기하여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모제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(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毛制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)상의 등 수입품목에 대하여 추가로 잠정세율을 실시하고; 선글라스 등 수입품목의 잠정세율을 하향조정하며; 전자제어 디젤유 분사장치 및 그 부품 등 수입품목의 명칭과 범위를 조정하고; 체크밸브 등 수입품목의 잠정세율을 취소하고 최혜국 세율의 실시를 회복하며; 에어제트직기 등 수입품목의 잠정세율을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상향조정한다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. 조정 후 잠정세율 실시 대상 품목은 별표1을 참조한다.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(2)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협정세율 및 </w:t>
            </w:r>
            <w:proofErr w:type="gramStart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특혜세율 :</w:t>
            </w:r>
            <w:proofErr w:type="gramEnd"/>
          </w:p>
          <w:p w:rsidR="00574175" w:rsidRPr="00DE5F5F" w:rsidRDefault="00574175" w:rsidP="00DE5F5F">
            <w:pPr>
              <w:wordWrap w:val="0"/>
              <w:topLinePunct/>
              <w:autoSpaceDN w:val="0"/>
              <w:spacing w:line="290" w:lineRule="atLeast"/>
              <w:ind w:firstLineChars="200" w:firstLine="404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중국과 관련 국가 또는 지역간에 체결된 무역협정 또는 관세특혜협정에 근거하여 27개 세목의 아이슬란드산 수입품목, 5923개 세목의 스위스산 수입품목, 247개 세목의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코스타리카산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수입품목, 1802개 세목의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페루산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수입품목, 92개 세목의 뉴질랜드산 수입품목의 관세율을 진일보 하향조정하고; 원산지가 홍콩·마카오특별행정구이고 특혜원산지표준이 제정되어 있는 2개 세목의 품목에 대하여 추가로 제로관세를 실시한다. 조정 후 관련 협정의 협정세율은 별표2(1)을 참조한다. 원산지가 아시안 회원국, 아시아 태평양 무역협정 기타 회원국(방글라데시, 인도, 라오스, 한국, 스리랑카), 파키스탄,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싱가폴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, 칠레 및 타이완 지역인 상품에 대해서는 계속해서 협정세율을 실</w:t>
            </w:r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lastRenderedPageBreak/>
              <w:t xml:space="preserve">시하며 기존 협정세율 상품 범위와 세율을 유지한다. 원산지가 에티오피아,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베냉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, 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부룬디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등 국가인 상품에 대해서는 계속해서 특혜세율을 실시하며 기존 특혜세율 상품 범위와 세율을 유지한다. 상세한 내용은 별표2(2)를 참조한다.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수출관세 세율</w:t>
            </w:r>
          </w:p>
          <w:p w:rsidR="00574175" w:rsidRPr="00DE5F5F" w:rsidRDefault="00574175" w:rsidP="00DE5F5F">
            <w:pPr>
              <w:wordWrap w:val="0"/>
              <w:topLinePunct/>
              <w:autoSpaceDN w:val="0"/>
              <w:spacing w:line="290" w:lineRule="atLeast"/>
              <w:ind w:firstLineChars="200" w:firstLine="380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고순수도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생철 등 품목의 수출관세율을 하향조정하고 인산 등 품목의 수출관세를 취소한다. 조정 후의 수출관세 과세 대상 품목은 별표3을 참조한다.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세칙세목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 세칙세목을 조정하며 상세한 조정 내용은 별표4를 참조한다. 조정 후 2016년의 세목 수는 총 8,294개이다.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실시시간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상기 방안은 2016년 1월 1일부터 실시한다.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별표 :</w:t>
            </w:r>
            <w:proofErr w:type="gramEnd"/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수입품목 </w:t>
            </w:r>
            <w:proofErr w:type="spellStart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잠정세율표</w:t>
            </w:r>
            <w:proofErr w:type="spellEnd"/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(1) 수입품목 </w:t>
            </w:r>
            <w:proofErr w:type="spellStart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협정세율표</w:t>
            </w:r>
            <w:proofErr w:type="spellEnd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(생략)</w:t>
            </w:r>
          </w:p>
          <w:p w:rsidR="00574175" w:rsidRPr="00DE5F5F" w:rsidRDefault="00574175" w:rsidP="00DE5F5F">
            <w:pPr>
              <w:wordWrap w:val="0"/>
              <w:topLinePunct/>
              <w:autoSpaceDN w:val="0"/>
              <w:spacing w:line="290" w:lineRule="atLeast"/>
              <w:ind w:leftChars="200" w:left="420" w:firstLineChars="100" w:firstLine="234"/>
              <w:rPr>
                <w:rFonts w:ascii="한컴바탕" w:eastAsia="한컴바탕" w:hAnsi="한컴바탕" w:cs="한컴바탕"/>
                <w:spacing w:val="12"/>
                <w:szCs w:val="21"/>
                <w:lang w:eastAsia="ko-KR"/>
              </w:rPr>
            </w:pPr>
            <w:r w:rsidRPr="00DE5F5F">
              <w:rPr>
                <w:rFonts w:ascii="한컴바탕" w:eastAsia="한컴바탕" w:hAnsi="한컴바탕" w:cs="한컴바탕" w:hint="eastAsia"/>
                <w:spacing w:val="12"/>
                <w:szCs w:val="21"/>
                <w:lang w:eastAsia="ko-KR"/>
              </w:rPr>
              <w:t>(2) 수입품목 협정세율·</w:t>
            </w:r>
            <w:proofErr w:type="spellStart"/>
            <w:r w:rsidRPr="00DE5F5F">
              <w:rPr>
                <w:rFonts w:ascii="한컴바탕" w:eastAsia="한컴바탕" w:hAnsi="한컴바탕" w:cs="한컴바탕" w:hint="eastAsia"/>
                <w:spacing w:val="12"/>
                <w:szCs w:val="21"/>
                <w:lang w:eastAsia="ko-KR"/>
              </w:rPr>
              <w:t>특혜세율표</w:t>
            </w:r>
            <w:proofErr w:type="spellEnd"/>
            <w:r w:rsidRPr="00DE5F5F">
              <w:rPr>
                <w:rFonts w:ascii="한컴바탕" w:eastAsia="한컴바탕" w:hAnsi="한컴바탕" w:cs="한컴바탕" w:hint="eastAsia"/>
                <w:spacing w:val="12"/>
                <w:szCs w:val="21"/>
                <w:lang w:eastAsia="ko-KR"/>
              </w:rPr>
              <w:t>(생략)</w:t>
            </w:r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수출품목 </w:t>
            </w:r>
            <w:proofErr w:type="spellStart"/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세율표</w:t>
            </w:r>
            <w:proofErr w:type="spellEnd"/>
          </w:p>
          <w:p w:rsidR="00574175" w:rsidRPr="00574175" w:rsidRDefault="00D02BF1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="00574175"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수출입 세칙세목 조정표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별표 다운로드 </w:t>
            </w: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받기 :</w:t>
            </w:r>
            <w:proofErr w:type="gramEnd"/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별표1 :</w:t>
            </w:r>
            <w:proofErr w:type="gram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수입품목 </w:t>
            </w: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잠정세율표</w:t>
            </w:r>
            <w:proofErr w:type="spellEnd"/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7" w:history="1">
              <w:r w:rsidRPr="00574175">
                <w:rPr>
                  <w:rFonts w:ascii="한컴바탕" w:eastAsia="한컴바탕" w:hAnsi="한컴바탕" w:cs="한컴바탕"/>
                  <w:szCs w:val="21"/>
                  <w:lang w:eastAsia="ko-KR"/>
                </w:rPr>
                <w:t>http://gss.mof.gov.cn/zhengwuxinxi/zhengcefabu/201512/P020151209323864195142.pdf</w:t>
              </w:r>
            </w:hyperlink>
            <w:r w:rsidR="003D21B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별표3 :</w:t>
            </w:r>
            <w:proofErr w:type="gram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수출품목 </w:t>
            </w: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세율표</w:t>
            </w:r>
            <w:proofErr w:type="spellEnd"/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8" w:history="1">
              <w:r w:rsidRPr="00574175">
                <w:rPr>
                  <w:rFonts w:ascii="한컴바탕" w:eastAsia="한컴바탕" w:hAnsi="한컴바탕" w:cs="한컴바탕"/>
                  <w:szCs w:val="21"/>
                </w:rPr>
                <w:t>http://gss.mof.gov.cn/zhengwuxinxi/zhengcefabu/201512/P020151209323864537580.pdf</w:t>
              </w:r>
            </w:hyperlink>
            <w:r w:rsidR="003D21B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gram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별표4 :</w:t>
            </w:r>
            <w:proofErr w:type="gramEnd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수출입 세칙세목 조정표.</w:t>
            </w:r>
            <w:proofErr w:type="spellStart"/>
            <w:r w:rsidRPr="0057417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pdf</w:t>
            </w:r>
            <w:proofErr w:type="spellEnd"/>
            <w:r w:rsidR="003D21B7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9" w:history="1">
              <w:r w:rsidRPr="00574175">
                <w:rPr>
                  <w:rFonts w:ascii="한컴바탕" w:eastAsia="한컴바탕" w:hAnsi="한컴바탕" w:cs="한컴바탕"/>
                  <w:szCs w:val="21"/>
                  <w:lang w:eastAsia="ko-KR"/>
                </w:rPr>
                <w:t>http://gss.mof.gov.cn/zhengwuxinxi/zhengcefabu/201512/P020151209323864854302.pdf</w:t>
              </w:r>
            </w:hyperlink>
            <w:r w:rsidRPr="00574175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574175" w:rsidRDefault="00574175" w:rsidP="00574175">
            <w:pPr>
              <w:snapToGrid w:val="0"/>
              <w:spacing w:line="360" w:lineRule="auto"/>
            </w:pPr>
          </w:p>
          <w:p w:rsidR="00574175" w:rsidRPr="00722C62" w:rsidRDefault="00574175" w:rsidP="00574175">
            <w:pPr>
              <w:snapToGrid w:val="0"/>
              <w:spacing w:line="360" w:lineRule="auto"/>
            </w:pPr>
          </w:p>
          <w:p w:rsidR="00E92B4B" w:rsidRPr="00574175" w:rsidRDefault="00E92B4B" w:rsidP="00E92B4B">
            <w:pPr>
              <w:wordWrap w:val="0"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E92B4B" w:rsidRPr="00E92B4B" w:rsidRDefault="00E92B4B" w:rsidP="00E92B4B">
            <w:pPr>
              <w:wordWrap w:val="0"/>
              <w:autoSpaceDE w:val="0"/>
              <w:autoSpaceDN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A9506C" w:rsidRPr="00A9506C" w:rsidRDefault="00A9506C" w:rsidP="00DE5F5F">
            <w:pPr>
              <w:snapToGrid w:val="0"/>
              <w:spacing w:line="320" w:lineRule="exact"/>
              <w:jc w:val="center"/>
              <w:rPr>
                <w:b/>
                <w:spacing w:val="-4"/>
                <w:sz w:val="40"/>
                <w:szCs w:val="40"/>
              </w:rPr>
            </w:pPr>
            <w:r w:rsidRPr="00A9506C">
              <w:rPr>
                <w:rFonts w:ascii="SimSun" w:eastAsia="SimSun" w:hAnsi="SimSun" w:cs="새굴림" w:hint="eastAsia"/>
                <w:b/>
                <w:spacing w:val="-4"/>
                <w:sz w:val="26"/>
                <w:szCs w:val="26"/>
              </w:rPr>
              <w:t>关于2016年关税调整方案的通知</w:t>
            </w:r>
          </w:p>
          <w:p w:rsidR="00A9506C" w:rsidRDefault="00A9506C" w:rsidP="00DE5F5F">
            <w:pPr>
              <w:snapToGrid w:val="0"/>
              <w:spacing w:line="320" w:lineRule="exact"/>
              <w:jc w:val="center"/>
              <w:rPr>
                <w:rFonts w:ascii="SimSun" w:hAnsi="SimSun" w:hint="eastAsia"/>
                <w:szCs w:val="21"/>
                <w:shd w:val="clear" w:color="auto" w:fill="FFFFFF"/>
                <w:lang w:eastAsia="ko-KR"/>
              </w:rPr>
            </w:pPr>
            <w:r w:rsidRPr="00A9506C">
              <w:rPr>
                <w:rFonts w:ascii="SimSun" w:eastAsia="SimSun" w:hAnsi="SimSun" w:hint="eastAsia"/>
                <w:szCs w:val="21"/>
                <w:shd w:val="clear" w:color="auto" w:fill="FFFFFF"/>
              </w:rPr>
              <w:t>税委会[2015]23号</w:t>
            </w:r>
          </w:p>
          <w:p w:rsidR="00DE5F5F" w:rsidRPr="00DE5F5F" w:rsidRDefault="00DE5F5F" w:rsidP="00DE5F5F">
            <w:pPr>
              <w:snapToGrid w:val="0"/>
              <w:spacing w:line="320" w:lineRule="exact"/>
              <w:jc w:val="center"/>
              <w:rPr>
                <w:rFonts w:ascii="SimSun" w:hAnsi="SimSun"/>
                <w:szCs w:val="21"/>
                <w:shd w:val="clear" w:color="auto" w:fill="FFFFFF"/>
                <w:lang w:eastAsia="ko-KR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 xml:space="preserve"> </w:t>
            </w: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海关总署：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《2016年关税调整方案》已经国务院关税税则委员会第六次全体会议审议通过，并报国务院批准，自2016年1月1日起实施。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特此通知。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　　附件：2016年关税调整方案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国务院关税税则委员会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　　2015年12月4日 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附件：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2016年关税调整方案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　　一、进口关税税率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（一）最惠国暂定税率：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在2015年实施的暂定税率基础上，增加对毛制上衣等商品实施暂定税率；降低太阳镜等商品暂定税率水平；调整电控柴油喷射装置及其零件等商品名称和范围；取消止回阀等商品暂定税率，恢复实施最惠国税率；提高喷气织机等商品暂定税率水平。调整后实施暂定税率的商品见附表1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（二）协定税率及特惠税率：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根据我国与有关国家或地区签署的贸易或关税优惠协定，对原产于冰岛的27个税目商品、原产于瑞士的5923个税目商品、原产于哥斯达黎加的247个税目商品、原产于秘鲁的1802个税目商品、原产于新西兰的92个税目商品实施进一步降税；增加对原产于香港、澳门特别行政区且已制定优惠原产地标准的各2个税目商品实施零关税。调整后有关协定的协定税率见附表2（一）。对原产于东盟成员国、亚太贸易协定其他成员国（孟加拉、印度、老挝、韩国、斯里兰卡）、巴基斯坦、新加坡、智利和台湾地区的商品继续实施协定税率，协</w:t>
            </w: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lastRenderedPageBreak/>
              <w:t>定税率的商品范围和税率水平维持不变；对原产于埃塞俄比亚、贝宁、布隆迪等国家的商品继续实施特惠税率，特惠税率的商品范围和税率水平维持不变。见附表2（二）。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二、出口关税税率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降低高纯生铁等商品出口关税，对磷酸等商品不再征收出口关税。调整后征收出口关税的商品见附表3。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三、税则税目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对部分税则税目进行调整，见附表4。调整后，2016年税目数共计8294个。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四、实施时间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以上方案，自2016年1月1日起实施。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附表：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1.进口商品暂定税率表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2.（一）进口商品协定税率表（略）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（二）进口商品协定税率、特惠税率表（略）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3.出口商品税率表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4.进出口税则税目调整表</w:t>
            </w: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附件下载:</w:t>
            </w:r>
          </w:p>
          <w:p w:rsidR="00DE5F5F" w:rsidRDefault="00DE5F5F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hAnsi="SimSun" w:hint="eastAsia"/>
                <w:spacing w:val="10"/>
                <w:szCs w:val="21"/>
                <w:shd w:val="clear" w:color="auto" w:fill="FFFFFF"/>
                <w:lang w:eastAsia="ko-KR"/>
              </w:rPr>
            </w:pPr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附表1：进口商品暂定税率表</w:t>
            </w:r>
          </w:p>
          <w:p w:rsidR="00A9506C" w:rsidRPr="00DE5F5F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-16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DE5F5F">
                <w:rPr>
                  <w:rFonts w:ascii="SimSun" w:eastAsia="SimSun" w:hAnsi="SimSun"/>
                  <w:spacing w:val="-16"/>
                  <w:szCs w:val="21"/>
                  <w:shd w:val="clear" w:color="auto" w:fill="FFFFFF"/>
                </w:rPr>
                <w:t>http://gss.mof.gov.cn/zhengwuxinxi/zhengcefabu/201512/P020151209323864195142.pdf</w:t>
              </w:r>
            </w:hyperlink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附表3：出口商品税率表</w:t>
            </w:r>
          </w:p>
          <w:p w:rsidR="00A9506C" w:rsidRPr="00DE5F5F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 w:rsidRPr="00DE5F5F"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  <w:t xml:space="preserve"> </w:t>
            </w:r>
            <w:hyperlink r:id="rId11" w:history="1">
              <w:r w:rsidRPr="00DE5F5F">
                <w:rPr>
                  <w:rFonts w:ascii="SimSun" w:eastAsia="SimSun" w:hAnsi="SimSun"/>
                  <w:spacing w:val="-14"/>
                  <w:szCs w:val="21"/>
                  <w:shd w:val="clear" w:color="auto" w:fill="FFFFFF"/>
                </w:rPr>
                <w:t>http://gss.mof.gov.cn/zhengwuxinxi/zhengcefabu/201512/P020151209323864537580.pdf</w:t>
              </w:r>
            </w:hyperlink>
          </w:p>
          <w:p w:rsidR="00A9506C" w:rsidRPr="00A9506C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附表4：进出口税则税目调整表.</w:t>
            </w:r>
            <w:proofErr w:type="spellStart"/>
            <w:r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pdf</w:t>
            </w:r>
            <w:proofErr w:type="spellEnd"/>
          </w:p>
          <w:p w:rsidR="00A9506C" w:rsidRPr="00DE5F5F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 w:rsidRPr="00DE5F5F"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  <w:t xml:space="preserve"> </w:t>
            </w:r>
            <w:hyperlink r:id="rId12" w:history="1">
              <w:r w:rsidRPr="00DE5F5F">
                <w:rPr>
                  <w:rFonts w:ascii="SimSun" w:eastAsia="SimSun" w:hAnsi="SimSun"/>
                  <w:spacing w:val="-14"/>
                  <w:szCs w:val="21"/>
                  <w:shd w:val="clear" w:color="auto" w:fill="FFFFFF"/>
                </w:rPr>
                <w:t>http://gss.mof.gov.cn/zhengwuxinxi/zhengcefabu/201512/P020151209323864854302.pdf</w:t>
              </w:r>
            </w:hyperlink>
            <w:r w:rsidRPr="00DE5F5F"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  <w:t xml:space="preserve"> </w:t>
            </w:r>
          </w:p>
          <w:p w:rsidR="00E92B4B" w:rsidRPr="00E92B4B" w:rsidRDefault="00E92B4B" w:rsidP="00E07BF9">
            <w:pPr>
              <w:wordWrap w:val="0"/>
              <w:autoSpaceDE w:val="0"/>
              <w:autoSpaceDN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E92B4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3C" w:rsidRDefault="0059243C" w:rsidP="00C248D5">
      <w:r>
        <w:separator/>
      </w:r>
    </w:p>
  </w:endnote>
  <w:endnote w:type="continuationSeparator" w:id="0">
    <w:p w:rsidR="0059243C" w:rsidRDefault="0059243C" w:rsidP="00C2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3C" w:rsidRDefault="0059243C" w:rsidP="00C248D5">
      <w:r>
        <w:separator/>
      </w:r>
    </w:p>
  </w:footnote>
  <w:footnote w:type="continuationSeparator" w:id="0">
    <w:p w:rsidR="0059243C" w:rsidRDefault="0059243C" w:rsidP="00C2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47F"/>
    <w:multiLevelType w:val="hybridMultilevel"/>
    <w:tmpl w:val="1D1C0BF8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CD4FC1"/>
    <w:multiLevelType w:val="hybridMultilevel"/>
    <w:tmpl w:val="A21822CE"/>
    <w:lvl w:ilvl="0" w:tplc="EB8E6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08036D"/>
    <w:multiLevelType w:val="hybridMultilevel"/>
    <w:tmpl w:val="1916D32A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341B47"/>
    <w:multiLevelType w:val="hybridMultilevel"/>
    <w:tmpl w:val="A7806F26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74ABA"/>
    <w:multiLevelType w:val="hybridMultilevel"/>
    <w:tmpl w:val="4702A8BC"/>
    <w:lvl w:ilvl="0" w:tplc="E21012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4B"/>
    <w:rsid w:val="00100135"/>
    <w:rsid w:val="002F1631"/>
    <w:rsid w:val="003D21B7"/>
    <w:rsid w:val="00574175"/>
    <w:rsid w:val="0059243C"/>
    <w:rsid w:val="009B00E0"/>
    <w:rsid w:val="00A9506C"/>
    <w:rsid w:val="00C248D5"/>
    <w:rsid w:val="00D02BF1"/>
    <w:rsid w:val="00DE5F5F"/>
    <w:rsid w:val="00E07BF9"/>
    <w:rsid w:val="00E9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B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B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2B4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248D5"/>
    <w:rPr>
      <w:sz w:val="21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248D5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512/P02015120932386453758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s.mof.gov.cn/zhengwuxinxi/zhengcefabu/201512/P020151209323864195142.pdf" TargetMode="External"/><Relationship Id="rId12" Type="http://schemas.openxmlformats.org/officeDocument/2006/relationships/hyperlink" Target="http://gss.mof.gov.cn/zhengwuxinxi/zhengcefabu/201512/P0201512093238648543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ss.mof.gov.cn/zhengwuxinxi/zhengcefabu/201512/P02015120932386453758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ss.mof.gov.cn/zhengwuxinxi/zhengcefabu/201512/P02015120932386419514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s.mof.gov.cn/zhengwuxinxi/zhengcefabu/201512/P0201512093238648543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8</cp:revision>
  <dcterms:created xsi:type="dcterms:W3CDTF">2015-12-14T08:08:00Z</dcterms:created>
  <dcterms:modified xsi:type="dcterms:W3CDTF">2015-12-14T08:22:00Z</dcterms:modified>
</cp:coreProperties>
</file>