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DB5008" w:rsidTr="0070285D">
        <w:tc>
          <w:tcPr>
            <w:tcW w:w="4786" w:type="dxa"/>
          </w:tcPr>
          <w:p w:rsidR="00D03682" w:rsidRPr="0011657F" w:rsidRDefault="00D03682" w:rsidP="00D03682">
            <w:pPr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w w:val="90"/>
                <w:sz w:val="26"/>
                <w:szCs w:val="26"/>
                <w:lang w:eastAsia="ko-KR"/>
              </w:rPr>
            </w:pPr>
            <w:bookmarkStart w:id="0" w:name="_GoBack"/>
            <w:bookmarkEnd w:id="0"/>
            <w:r w:rsidRPr="0011657F">
              <w:rPr>
                <w:rFonts w:ascii="한컴바탕" w:eastAsia="한컴바탕" w:hAnsi="한컴바탕" w:cs="한컴바탕" w:hint="eastAsia"/>
                <w:b/>
                <w:bCs/>
                <w:w w:val="90"/>
                <w:sz w:val="26"/>
                <w:szCs w:val="26"/>
                <w:lang w:eastAsia="ko-KR"/>
              </w:rPr>
              <w:t xml:space="preserve">중소영세기업 대출에 대한 일시적 원리금 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상환 연기 실시에 관한 통지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은보감발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[2020] 6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11657F" w:rsidRPr="00D03682" w:rsidRDefault="0011657F" w:rsidP="00D03682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은보감국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중국인민은행 상해본점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지점 및 영업관리부,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성회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수부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: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소수민족 자치지역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중심지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)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도시중심지점,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부(副)성급 도시중심지점,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직할시 및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발전개혁위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신강생산건설병단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발전개혁위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직할시 및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계획단열시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)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중소기업 주관부처,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신강생산건설병단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중소기업 주관부처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직할시)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재정청</w:t>
            </w:r>
            <w:proofErr w:type="spellEnd"/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(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국)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신강생산건설병단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재정국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각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정책성은행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대형은행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주식제은행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gram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외자은행 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:</w:t>
            </w:r>
            <w:proofErr w:type="gramEnd"/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당중앙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,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국무원의 신종 코로나1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9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방역과 대응업무의 관한 결정사항을 깊이 관철시키고,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한 걸음 더 나아가 중소영세기업의 어려움을 풀며,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기업이 질서 있게 생산재개를 하도록 추진하고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,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금융서비스의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타깃성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및 유효성을 제고하기 위해서 유관부처는 심도 깊게 검토하였고 시장화 및 법치화 원칙에 따라 조건에 부합하고 유동성이 일시적으로 곤란한 중소기업 대출에 대하여 일시적으로 원리금 상환 연기를 안배하기로 확정하였다.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국무원의 동의를 거쳐 유관 사안에 관한 통지는 다음과 같다.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1.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대출만기 원금 안배에 관하여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2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020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년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1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25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일이래 만기가 도달해 어려운 중소영세기업(소기업주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,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개인사업자 포함)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대출 원금에 대하여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은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기업의 원금상환 연기 신청에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근거해 기업이 코로나1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9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영향을 받은 상황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lastRenderedPageBreak/>
              <w:t>과 경영상태를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결부하여 대출기간 연장 및 연장대출 등의 방식을 통해 기업에게 일정기간 동안 일시적인 원금 상환 연기를 안배해준다.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원금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상환일은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최장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2020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년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6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30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까지 연기할 수 있다.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5"/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소수의 코로나1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9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영향을 심각하게 받고 회복주기가 비교적 길지만 발전전망이 양호한 중소영세기업에 대해서는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이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실제상황에 근거해 기업과 협상하여 별도의 연기 안배를 확정할 수 있다.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상술한 대출과 관련된 담보의 경우,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금융기관이 기업 및 담보인 등과 협상하여 처리해야 한다.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2.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대출이자 지급 안배에 관하여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2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020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년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1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25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일부터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6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30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일 기간 중소영세기업이 지급해야 할 대출이자에 대하여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은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기업의 이자지급 연기 신청에 근거해 코로나1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9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영향을 받은 실제상황을 결부하여 기업에게 일정기간 동안 이자 지급 연기를 안배해준다.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대출이자 지급일은 최장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2020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년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6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30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일까지 연기할 수 있으며, 벌칙금리는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받지 않는다.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이자 연기의 구체적인 상환 계획은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은행업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금융기관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과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기업 쌍방간 자주적으로 협상하여 합리적으로 확정한다.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3.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호북지역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특수 안배에 관하여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호북지역의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각 기업은 상술한 정책을 적용한다.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은행업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금융기관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은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호북지역에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특별 신용대출 규모를 편성하고, 내부자금을 정가혜택으로 전환 실시하여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2020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보편적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혜택형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소형기업 종합 융자 코스트를 전년 평균 수준과 비교하여 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1%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이상 낮추고자 힘써야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한다.</w:t>
            </w:r>
          </w:p>
          <w:p w:rsid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11657F" w:rsidRPr="00D03682" w:rsidRDefault="0011657F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lastRenderedPageBreak/>
              <w:t xml:space="preserve">4.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기업의 신규 융자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안배에 관하여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73"/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</w:pP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>은</w:t>
            </w:r>
            <w:r w:rsidRPr="0011657F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 적극적으로 중소영세기업 융자 수요에 맞춰</w:t>
            </w:r>
            <w:r w:rsidRPr="0011657F">
              <w:rPr>
                <w:rFonts w:ascii="한컴바탕" w:eastAsia="한컴바탕" w:hAnsi="한컴바탕" w:cs="한컴바탕"/>
                <w:spacing w:val="-8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녹색통로를 구축해 대출 심사비준 절차를 간소화하고 하급기관에 적절한 심사비준 권한을 주어 대출이 필요할 때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>가능한만큼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8"/>
                <w:w w:val="90"/>
                <w:szCs w:val="21"/>
                <w:lang w:eastAsia="ko-KR"/>
              </w:rPr>
              <w:t xml:space="preserve"> 빠르게 대출을 해 주어야 한다.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고가평가 및 직책을 다하고 책임을 면하는 등 내부자원 배치와 정책 안배를 개진하여 소기업 신용대출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중장기 대출이 차지하는 비율과 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첫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대출률</w:t>
            </w:r>
            <w:proofErr w:type="spellEnd"/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을 제고하는데 노력해야 한다.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지방법인은행은 주동적으로 인민은행에 신규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재대출</w:t>
            </w:r>
            <w:proofErr w:type="spellEnd"/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,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재할인 한도를 신청하고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,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적극적으로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정책성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은행과 신규 신용대출 계획에 협력하여 우대이율로써 민영 및 중소영세기업에 대출을 해줘야 한다.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5.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시행요구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수요에 잘 대응한다.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은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적극적으로 기업대출 원리금 상환 연기 수요에 대응하고 오프라인과 온라인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(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인터넷뱅킹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,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스마트뱅킹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,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폰뱅킹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)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등 다양한 채널을 개통하여 기업에게 원리금 상환 연기 신청에 편의를 제공해야 한다.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적시에 기업의 신청을 수리하고,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시간내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처리하여 회신한다.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69"/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중점적인 지원을 명확히 한다.</w:t>
            </w:r>
            <w:r w:rsidRPr="0011657F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>은</w:t>
            </w:r>
            <w:r w:rsidRPr="0011657F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 xml:space="preserve"> 합리적으로 기업상황을 평가하고,</w:t>
            </w:r>
            <w:r w:rsidRPr="0011657F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기업이 원리금 상환 안배를 완벽히 하도록 조정하며 전기(前期) 경영이 정상적이고 코로나1</w:t>
            </w:r>
            <w:r w:rsidRPr="0011657F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9 </w:t>
            </w:r>
            <w:r w:rsidRPr="0011657F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영향을 받아 잠시 어려운 상황에 처했으나 발전전망이 양호한 중소영세기업을 중점적으로 지원해야 한다.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코로나1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9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영향을 받아 특별히 엄중하고 특수한 어려움에 처한 업종 예를 들어 교통운수,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도/소매,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문화오락,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숙박/요식 등에 대해서는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은행업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금융기관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이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실제상황에 근거해 적절히 편중해 줘야 한다.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5"/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효과적으로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리스크를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예방한다.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은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lastRenderedPageBreak/>
              <w:t>일시적 원리금 상환 대출 연기에 대해 전문적으로 통계를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내고 밀착 모니터링하며 대출기간 기업 경영에 실질적인 변화가 생긴 것에 대해 적시에 상응하는 조치를 내려야 한다.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동시에,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반사기모형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운용을 완벽히 하고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정보공유 공동방위를 추진해야 한다.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일단 허위∙위조 등 위법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/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위규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행위를 발견한 경우에는 즉시 융자 지원을 중단하고, 상부에 보고하여 신용조회 및 소송 등 처벌조치를 통해 효과적으로 모럴 해저드를 예방해야 한다.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200"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6.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유관 관련 정책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5"/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상술한 일시적 원리금 상환을 연기한 대출에 대해서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금융기관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은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실질적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리스크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판단을 고수하며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,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코로나1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9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로 대출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리스크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분류를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하향 조정하지 않고 기업 신용조회기록에 영향을 주지 않아야 한다.</w:t>
            </w:r>
            <w:r w:rsidRPr="0011657F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인민은행은 공개적인 시장조작,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중기대출 편의,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상비대출 편의,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재대출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재할인 등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화폐정책도구를 종합적으로 운영하여,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은행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체제의 유동성을 합리적인 선에서 충분히 유지하고 은행부채도 안정적인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수준으로 계속 유지한다.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D03682" w:rsidRPr="0011657F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각 급 재정부처는 국유지분과 주식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투자한 </w:t>
            </w:r>
            <w:proofErr w:type="spellStart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은행업</w:t>
            </w:r>
            <w:proofErr w:type="spellEnd"/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금융기관의 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2020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년 경영평가에 대하여 코로나1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9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대응 및 중소영세기업에 서비스한 특수한 요인을 충분히 고려하여</w:t>
            </w:r>
            <w:r w:rsidRPr="0011657F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11657F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합리적으로 평가를 내려야 한다. </w:t>
            </w:r>
          </w:p>
          <w:p w:rsid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11657F" w:rsidRPr="00D03682" w:rsidRDefault="0011657F" w:rsidP="00D03682">
            <w:pPr>
              <w:wordWrap w:val="0"/>
              <w:topLinePunct/>
              <w:adjustRightInd w:val="0"/>
              <w:snapToGrid w:val="0"/>
              <w:spacing w:line="360" w:lineRule="auto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은보감회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(중국은행 보험감독관리위원회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인민은행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발전개혁위</w:t>
            </w:r>
            <w:proofErr w:type="spellEnd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(</w:t>
            </w: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국가발전과개혁위원회</w:t>
            </w:r>
            <w:proofErr w:type="spellEnd"/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)</w:t>
            </w:r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공업과정보화부</w:t>
            </w:r>
            <w:proofErr w:type="spellEnd"/>
          </w:p>
          <w:p w:rsidR="00D03682" w:rsidRPr="00D03682" w:rsidRDefault="00D03682" w:rsidP="00D03682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DB5008" w:rsidRPr="00D03682" w:rsidRDefault="00D03682" w:rsidP="0011657F">
            <w:pPr>
              <w:wordWrap w:val="0"/>
              <w:topLinePunct/>
              <w:adjustRightInd w:val="0"/>
              <w:snapToGrid w:val="0"/>
              <w:spacing w:line="360" w:lineRule="auto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020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년 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3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월 </w:t>
            </w:r>
            <w:r w:rsidRPr="00D03682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D0368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</w:tc>
        <w:tc>
          <w:tcPr>
            <w:tcW w:w="538" w:type="dxa"/>
          </w:tcPr>
          <w:p w:rsidR="00DB5008" w:rsidRPr="00725B68" w:rsidRDefault="00DB5008" w:rsidP="00DB5008">
            <w:pPr>
              <w:wordWrap w:val="0"/>
              <w:spacing w:line="290" w:lineRule="atLeas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11657F" w:rsidRDefault="00D03682" w:rsidP="0011657F">
            <w:pPr>
              <w:spacing w:line="300" w:lineRule="auto"/>
              <w:jc w:val="center"/>
              <w:rPr>
                <w:rFonts w:ascii="SimSun" w:hAnsi="SimSun" w:hint="eastAsia"/>
                <w:b/>
                <w:bCs/>
                <w:sz w:val="26"/>
                <w:szCs w:val="26"/>
                <w:lang w:eastAsia="ko-KR"/>
              </w:rPr>
            </w:pPr>
            <w:r w:rsidRPr="00D03682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关于对中小微企业贷款实施</w:t>
            </w:r>
          </w:p>
          <w:p w:rsidR="00D03682" w:rsidRPr="00D03682" w:rsidRDefault="00D03682" w:rsidP="0011657F">
            <w:pPr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D03682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临时性延期还本付息的通知</w:t>
            </w:r>
          </w:p>
          <w:p w:rsidR="00D03682" w:rsidRPr="00D03682" w:rsidRDefault="00D03682" w:rsidP="0011657F">
            <w:pPr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银保监发〔</w:t>
            </w:r>
            <w:r w:rsidRPr="00D03682">
              <w:rPr>
                <w:rFonts w:ascii="SimSun" w:eastAsia="SimSun" w:hAnsi="SimSun"/>
                <w:szCs w:val="21"/>
              </w:rPr>
              <w:t>2020〕6号</w:t>
            </w:r>
          </w:p>
          <w:p w:rsidR="00D03682" w:rsidRPr="00D03682" w:rsidRDefault="00D03682" w:rsidP="00D0368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D03682" w:rsidRPr="00D03682" w:rsidRDefault="00D03682" w:rsidP="00D0368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D03682" w:rsidRPr="0011657F" w:rsidRDefault="00D03682" w:rsidP="00D03682">
            <w:pPr>
              <w:spacing w:line="360" w:lineRule="auto"/>
              <w:rPr>
                <w:rFonts w:ascii="SimSun" w:hAnsi="SimSun" w:hint="eastAsia"/>
                <w:w w:val="90"/>
                <w:szCs w:val="21"/>
                <w:lang w:eastAsia="ko-KR"/>
              </w:rPr>
            </w:pPr>
            <w:r w:rsidRPr="0011657F">
              <w:rPr>
                <w:rFonts w:ascii="SimSun" w:eastAsia="SimSun" w:hAnsi="SimSun" w:hint="eastAsia"/>
                <w:w w:val="90"/>
                <w:szCs w:val="21"/>
              </w:rPr>
              <w:t>各银保监局，中国人民银行上海总部，各分行、营业管理部，各省会（首府）城市中心支行，各副省级城市中心支行，各省（自治区、直辖市及计划单列市）发展改革委，新疆生产建设兵团发展改革委，各省（自治区、直辖市及计划单列市）中小企业主管部门，新疆生产建设兵团中小企业主管部门，各省（自治区、直辖市）财政厅（局），新疆生产建设兵团财政局，各政策性银行、大型银行、股份制银行，外资银行：</w:t>
            </w:r>
          </w:p>
          <w:p w:rsidR="0011657F" w:rsidRPr="0011657F" w:rsidRDefault="0011657F" w:rsidP="00D03682">
            <w:pPr>
              <w:spacing w:line="360" w:lineRule="auto"/>
              <w:rPr>
                <w:rFonts w:ascii="SimSun" w:hAnsi="SimSun"/>
                <w:szCs w:val="21"/>
                <w:lang w:eastAsia="ko-KR"/>
              </w:rPr>
            </w:pPr>
          </w:p>
          <w:p w:rsid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为深入贯彻落实党中央、国务院关于新冠肺炎疫情防控和应对工作的决策部署，进一步纾解中小微企业困难，推动企业有序复工复产，提高金融服务的针对性、有效性，有关部门作了深入研究，确定按照市场化、法治化原则，对符合条件、流动性遇到暂时困难的中小微企业贷款，给予临时性延期还本付息安排。经国务院同意，现就有关事宜通知如下：</w:t>
            </w:r>
          </w:p>
          <w:p w:rsidR="0011657F" w:rsidRPr="0011657F" w:rsidRDefault="0011657F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一、关于贷款到期本金安排</w:t>
            </w:r>
          </w:p>
          <w:p w:rsidR="0011657F" w:rsidRDefault="00D03682" w:rsidP="0011657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对于</w:t>
            </w:r>
            <w:r w:rsidRPr="00D03682">
              <w:rPr>
                <w:rFonts w:ascii="SimSun" w:eastAsia="SimSun" w:hAnsi="SimSun"/>
                <w:szCs w:val="21"/>
              </w:rPr>
              <w:t>2020年1月25日以来到期的困难中小微企业（含小微企业主、个体工商户）贷款本金，银行业金融机构应根据企业延期还本申请，结合企业受疫</w:t>
            </w:r>
            <w:r w:rsidRPr="00D03682">
              <w:rPr>
                <w:rFonts w:ascii="SimSun" w:eastAsia="SimSun" w:hAnsi="SimSun"/>
                <w:szCs w:val="21"/>
              </w:rPr>
              <w:lastRenderedPageBreak/>
              <w:t>情影响情况和经营状况，通过贷款展期、续贷等方式，给予企业一定期限的临时性延期还本安排。还本日期最长可延至2020年6月30日。</w:t>
            </w:r>
          </w:p>
          <w:p w:rsidR="00D03682" w:rsidRDefault="00D03682" w:rsidP="0011657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/>
                <w:szCs w:val="21"/>
              </w:rPr>
              <w:t>对于少数受疫情影响严重、恢复周期较长且发展前景良好的中小微企业，银行业金融机构可根据实际情况与企业协商确定另外的延期安排。上述贷款涉及担保的，银行业金融机构应与企业、担保人等协商处理。</w:t>
            </w:r>
          </w:p>
          <w:p w:rsidR="0011657F" w:rsidRPr="0011657F" w:rsidRDefault="0011657F" w:rsidP="0011657F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二、关于贷款利息支付安排</w:t>
            </w:r>
          </w:p>
          <w:p w:rsidR="0011657F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对于</w:t>
            </w:r>
            <w:r w:rsidRPr="00D03682">
              <w:rPr>
                <w:rFonts w:ascii="SimSun" w:eastAsia="SimSun" w:hAnsi="SimSun"/>
                <w:szCs w:val="21"/>
              </w:rPr>
              <w:t>2020年1月25日至6月30日中小微企业需支付的贷款利息，银行业金融机构应根据企业延期付息申请，结合其受疫情影响的实际情况，给予企业一定期限的延期付息安排。贷款付息日期最长可延至2020年6月30日，免收罚息。</w:t>
            </w:r>
          </w:p>
          <w:p w:rsid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/>
                <w:szCs w:val="21"/>
              </w:rPr>
              <w:t>延期利息的具体偿还计划，由银行业金融机构与企业双方自主协商、合理确定。</w:t>
            </w:r>
          </w:p>
          <w:p w:rsidR="0011657F" w:rsidRPr="0011657F" w:rsidRDefault="0011657F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三、关于湖北地区特殊安排</w:t>
            </w:r>
          </w:p>
          <w:p w:rsid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湖北地区各类企业适用上述政策。银行业金融机构应为湖北地区配备专项信贷规模，实施内部资金转移定价优惠，力争</w:t>
            </w:r>
            <w:r w:rsidRPr="00D03682">
              <w:rPr>
                <w:rFonts w:ascii="SimSun" w:eastAsia="SimSun" w:hAnsi="SimSun"/>
                <w:szCs w:val="21"/>
              </w:rPr>
              <w:t>2020年普惠型小微企业综合融资成本较上年平均水平降低1个百分点以上。</w:t>
            </w:r>
          </w:p>
          <w:p w:rsidR="0011657F" w:rsidRDefault="0011657F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11657F" w:rsidRPr="0011657F" w:rsidRDefault="0011657F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lastRenderedPageBreak/>
              <w:t>四、关于企业新增融资安排</w:t>
            </w:r>
          </w:p>
          <w:p w:rsidR="0011657F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银行业金融机构应积极对接中小微企业融资需求，建立绿色通道，简化贷款审批流程，适度下放审批权限，应贷尽贷快贷。</w:t>
            </w:r>
          </w:p>
          <w:p w:rsidR="0011657F" w:rsidRPr="0011657F" w:rsidRDefault="00D03682" w:rsidP="0011657F">
            <w:pPr>
              <w:adjustRightInd w:val="0"/>
              <w:snapToGrid w:val="0"/>
              <w:spacing w:line="360" w:lineRule="auto"/>
              <w:ind w:firstLineChars="200" w:firstLine="444"/>
              <w:rPr>
                <w:rFonts w:ascii="SimSun" w:hAnsi="SimSun" w:hint="eastAsia"/>
                <w:spacing w:val="6"/>
                <w:szCs w:val="21"/>
                <w:lang w:eastAsia="ko-KR"/>
              </w:rPr>
            </w:pPr>
            <w:r w:rsidRPr="0011657F">
              <w:rPr>
                <w:rFonts w:ascii="SimSun" w:eastAsia="SimSun" w:hAnsi="SimSun" w:hint="eastAsia"/>
                <w:spacing w:val="6"/>
                <w:szCs w:val="21"/>
              </w:rPr>
              <w:t>要改进绩效考评、尽职免责等内部资源配置和政策安排，努力提高小微企业信用贷款、中长期贷款占比和“首贷率”。</w:t>
            </w:r>
          </w:p>
          <w:p w:rsid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地方法人银行应主动申请人民银行的新增再贷款、再贴现额度，积极配合政策性银行的新增信贷计划，以优惠利率向民营、中小微企业发放贷款。</w:t>
            </w:r>
          </w:p>
          <w:p w:rsidR="0011657F" w:rsidRPr="0011657F" w:rsidRDefault="0011657F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五、落实要求</w:t>
            </w: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做好需求对接。银行业金融机构应积极对接企业贷款延期还本付息需求，开通线下和线上（网上银行、手机银行、电话银行）等多种渠道，为企业延期还本付息申请提供便利。要及时受理企业申请，限时回复办理。</w:t>
            </w:r>
          </w:p>
          <w:p w:rsidR="0011657F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明确支持重点。银行业金融机构应合理评估企业状况，调整完善企业还本付息安排，重点支持前期经营正常、受疫情影响遇到暂时困难、发展前景良好的中小微企业。</w:t>
            </w:r>
          </w:p>
          <w:p w:rsidR="00D03682" w:rsidRPr="0011657F" w:rsidRDefault="00D03682" w:rsidP="0011657F">
            <w:pPr>
              <w:adjustRightInd w:val="0"/>
              <w:snapToGrid w:val="0"/>
              <w:spacing w:line="360" w:lineRule="auto"/>
              <w:ind w:firstLineChars="200" w:firstLine="444"/>
              <w:rPr>
                <w:rFonts w:ascii="SimSun" w:eastAsia="SimSun" w:hAnsi="SimSun"/>
                <w:spacing w:val="6"/>
                <w:szCs w:val="21"/>
              </w:rPr>
            </w:pPr>
            <w:r w:rsidRPr="0011657F">
              <w:rPr>
                <w:rFonts w:ascii="SimSun" w:eastAsia="SimSun" w:hAnsi="SimSun" w:hint="eastAsia"/>
                <w:spacing w:val="6"/>
                <w:szCs w:val="21"/>
              </w:rPr>
              <w:t>对于受疫情影响特别严重、遇到特殊困难的行业，例如交通运输、批发零售、文化娱乐、住宿餐饮等，银行业金融机构应根据实际情况，给予适当倾斜。</w:t>
            </w:r>
          </w:p>
          <w:p w:rsidR="0011657F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  <w:lang w:eastAsia="ko-KR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有效防范风险。银行业金融机构应</w:t>
            </w:r>
            <w:r w:rsidRPr="00D03682">
              <w:rPr>
                <w:rFonts w:ascii="SimSun" w:eastAsia="SimSun" w:hAnsi="SimSun" w:hint="eastAsia"/>
                <w:szCs w:val="21"/>
              </w:rPr>
              <w:lastRenderedPageBreak/>
              <w:t>对临时性延期还本付息贷款进行专门统计、密切监测，对于贷款期间企业经营出现实质性变化的，及时予以相应处置。同时，应完善反欺诈模型运用，推进信息共享联防。</w:t>
            </w:r>
          </w:p>
          <w:p w:rsid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 w:hint="eastAsia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一旦发现弄虚作假等违法违规行为，应立即停止融资支持，并通过上报征信、诉讼等惩戒措施，有效防控道德风险。</w:t>
            </w:r>
          </w:p>
          <w:p w:rsidR="0011657F" w:rsidRPr="0011657F" w:rsidRDefault="0011657F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hAnsi="SimSun"/>
                <w:szCs w:val="21"/>
              </w:rPr>
            </w:pP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六、有关配套政策</w:t>
            </w: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对于上述临时性延期还本付息的贷款，银行业金融机构应坚持实质性风险判断，不因疫情因素下调贷款风险分类，不影响企业征信记录。</w:t>
            </w: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人民银行综合运用公开市场操作、中期借贷便利、常备借贷便利、再贷款、再贴现等货币政策工具，保持银行体系流动性合理充裕，维持银行负债端平稳接续。</w:t>
            </w:r>
          </w:p>
          <w:p w:rsidR="00D03682" w:rsidRPr="00D03682" w:rsidRDefault="00D03682" w:rsidP="00D0368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各级财政部门对于国有控股和参股的银行业金融机构</w:t>
            </w:r>
            <w:r w:rsidRPr="00D03682">
              <w:rPr>
                <w:rFonts w:ascii="SimSun" w:eastAsia="SimSun" w:hAnsi="SimSun"/>
                <w:szCs w:val="21"/>
              </w:rPr>
              <w:t>2020年的经营考核，应充分考虑应对疫情、服务中小微企业的特殊因素，给予合理评价。</w:t>
            </w:r>
          </w:p>
          <w:p w:rsidR="00D03682" w:rsidRPr="00D03682" w:rsidRDefault="00D03682" w:rsidP="00D0368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D03682" w:rsidRPr="00D03682" w:rsidRDefault="00D03682" w:rsidP="00D03682">
            <w:pPr>
              <w:spacing w:line="360" w:lineRule="auto"/>
              <w:rPr>
                <w:rFonts w:ascii="SimSun" w:eastAsia="SimSun" w:hAnsi="SimSun"/>
                <w:szCs w:val="21"/>
              </w:rPr>
            </w:pPr>
          </w:p>
          <w:p w:rsidR="00D03682" w:rsidRPr="00D03682" w:rsidRDefault="00D03682" w:rsidP="00D03682">
            <w:pPr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银保监会</w:t>
            </w:r>
            <w:r w:rsidRPr="00D03682">
              <w:rPr>
                <w:rFonts w:ascii="SimSun" w:eastAsia="SimSun" w:hAnsi="SimSun"/>
                <w:szCs w:val="21"/>
              </w:rPr>
              <w:t xml:space="preserve"> </w:t>
            </w:r>
          </w:p>
          <w:p w:rsidR="00D03682" w:rsidRPr="00D03682" w:rsidRDefault="00D03682" w:rsidP="00D03682">
            <w:pPr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/>
                <w:szCs w:val="21"/>
              </w:rPr>
              <w:t>人民银行</w:t>
            </w:r>
          </w:p>
          <w:p w:rsidR="00D03682" w:rsidRPr="00D03682" w:rsidRDefault="00D03682" w:rsidP="00D03682">
            <w:pPr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 w:hint="eastAsia"/>
                <w:szCs w:val="21"/>
              </w:rPr>
              <w:t>发展改革委</w:t>
            </w:r>
            <w:r w:rsidRPr="00D03682">
              <w:rPr>
                <w:rFonts w:ascii="SimSun" w:eastAsia="SimSun" w:hAnsi="SimSun"/>
                <w:szCs w:val="21"/>
              </w:rPr>
              <w:t xml:space="preserve"> </w:t>
            </w:r>
          </w:p>
          <w:p w:rsidR="00D03682" w:rsidRPr="00D03682" w:rsidRDefault="00D03682" w:rsidP="00D03682">
            <w:pPr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/>
                <w:szCs w:val="21"/>
              </w:rPr>
              <w:t xml:space="preserve">工业和信息化部 </w:t>
            </w:r>
          </w:p>
          <w:p w:rsidR="00D03682" w:rsidRPr="00D03682" w:rsidRDefault="00D03682" w:rsidP="00D03682">
            <w:pPr>
              <w:spacing w:line="360" w:lineRule="auto"/>
              <w:jc w:val="right"/>
              <w:rPr>
                <w:rFonts w:ascii="SimSun" w:eastAsia="SimSun" w:hAnsi="SimSun"/>
                <w:szCs w:val="21"/>
              </w:rPr>
            </w:pPr>
            <w:r w:rsidRPr="00D03682">
              <w:rPr>
                <w:rFonts w:ascii="SimSun" w:eastAsia="SimSun" w:hAnsi="SimSun"/>
                <w:szCs w:val="21"/>
              </w:rPr>
              <w:t>财政部</w:t>
            </w:r>
          </w:p>
          <w:p w:rsidR="00DB5008" w:rsidRPr="00D03682" w:rsidRDefault="00D03682" w:rsidP="0011657F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D03682">
              <w:rPr>
                <w:rFonts w:ascii="SimSun" w:eastAsia="SimSun" w:hAnsi="SimSun"/>
                <w:szCs w:val="21"/>
              </w:rPr>
              <w:t>2020年3月1日</w:t>
            </w:r>
          </w:p>
        </w:tc>
      </w:tr>
    </w:tbl>
    <w:p w:rsidR="00100135" w:rsidRPr="0011657F" w:rsidRDefault="00100135">
      <w:pPr>
        <w:rPr>
          <w:sz w:val="16"/>
        </w:rPr>
      </w:pPr>
    </w:p>
    <w:sectPr w:rsidR="00100135" w:rsidRPr="0011657F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6D" w:rsidRDefault="00D05E6D" w:rsidP="00C278F4">
      <w:r>
        <w:separator/>
      </w:r>
    </w:p>
  </w:endnote>
  <w:endnote w:type="continuationSeparator" w:id="0">
    <w:p w:rsidR="00D05E6D" w:rsidRDefault="00D05E6D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6D" w:rsidRDefault="00D05E6D" w:rsidP="00C278F4">
      <w:r>
        <w:separator/>
      </w:r>
    </w:p>
  </w:footnote>
  <w:footnote w:type="continuationSeparator" w:id="0">
    <w:p w:rsidR="00D05E6D" w:rsidRDefault="00D05E6D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DD4F14"/>
    <w:multiLevelType w:val="hybridMultilevel"/>
    <w:tmpl w:val="8020C9B2"/>
    <w:lvl w:ilvl="0" w:tplc="75141336">
      <w:numFmt w:val="bullet"/>
      <w:lvlText w:val="-"/>
      <w:lvlJc w:val="left"/>
      <w:pPr>
        <w:ind w:left="760" w:hanging="360"/>
      </w:pPr>
      <w:rPr>
        <w:rFonts w:ascii="한컴바탕" w:eastAsia="한컴바탕" w:hAnsi="한컴바탕" w:cs="한컴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9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6115DD"/>
    <w:multiLevelType w:val="hybridMultilevel"/>
    <w:tmpl w:val="133E8924"/>
    <w:lvl w:ilvl="0" w:tplc="0BF2A276">
      <w:numFmt w:val="bullet"/>
      <w:lvlText w:val="-"/>
      <w:lvlJc w:val="left"/>
      <w:pPr>
        <w:ind w:left="7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1657F"/>
    <w:rsid w:val="00135A6C"/>
    <w:rsid w:val="00140993"/>
    <w:rsid w:val="0015136D"/>
    <w:rsid w:val="0016200D"/>
    <w:rsid w:val="00166522"/>
    <w:rsid w:val="00195BE9"/>
    <w:rsid w:val="001A2B88"/>
    <w:rsid w:val="001A612D"/>
    <w:rsid w:val="001D31E0"/>
    <w:rsid w:val="001F2DDE"/>
    <w:rsid w:val="001F4507"/>
    <w:rsid w:val="002004A8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2048E"/>
    <w:rsid w:val="00432A54"/>
    <w:rsid w:val="00444F1B"/>
    <w:rsid w:val="00450E11"/>
    <w:rsid w:val="00470C94"/>
    <w:rsid w:val="00470D1E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843DF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91600"/>
    <w:rsid w:val="009A478E"/>
    <w:rsid w:val="009A4BE1"/>
    <w:rsid w:val="009A6824"/>
    <w:rsid w:val="009B0986"/>
    <w:rsid w:val="009C24AE"/>
    <w:rsid w:val="009D3790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86A82"/>
    <w:rsid w:val="00B87E3D"/>
    <w:rsid w:val="00B96E54"/>
    <w:rsid w:val="00BA0053"/>
    <w:rsid w:val="00BA7173"/>
    <w:rsid w:val="00BB1357"/>
    <w:rsid w:val="00BB6FFC"/>
    <w:rsid w:val="00BC67B4"/>
    <w:rsid w:val="00BD2273"/>
    <w:rsid w:val="00C278F4"/>
    <w:rsid w:val="00C32E2B"/>
    <w:rsid w:val="00C331D8"/>
    <w:rsid w:val="00C52475"/>
    <w:rsid w:val="00C71FB9"/>
    <w:rsid w:val="00C810C6"/>
    <w:rsid w:val="00CA3724"/>
    <w:rsid w:val="00CC1207"/>
    <w:rsid w:val="00CC5D08"/>
    <w:rsid w:val="00CD4421"/>
    <w:rsid w:val="00CD5ACF"/>
    <w:rsid w:val="00D03682"/>
    <w:rsid w:val="00D05E6D"/>
    <w:rsid w:val="00D122A0"/>
    <w:rsid w:val="00D122B7"/>
    <w:rsid w:val="00D16B85"/>
    <w:rsid w:val="00D20DB7"/>
    <w:rsid w:val="00D420AB"/>
    <w:rsid w:val="00D44DCD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46AEF"/>
    <w:rsid w:val="00E75E1F"/>
    <w:rsid w:val="00E7653A"/>
    <w:rsid w:val="00E9758D"/>
    <w:rsid w:val="00EE4CB9"/>
    <w:rsid w:val="00F01C22"/>
    <w:rsid w:val="00F078AB"/>
    <w:rsid w:val="00F32227"/>
    <w:rsid w:val="00F6633C"/>
    <w:rsid w:val="00F74269"/>
    <w:rsid w:val="00F77275"/>
    <w:rsid w:val="00F83BC3"/>
    <w:rsid w:val="00F916FD"/>
    <w:rsid w:val="00F959A8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A3A5-F9B7-4799-B85E-EE46E7A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53</cp:revision>
  <dcterms:created xsi:type="dcterms:W3CDTF">2016-01-15T03:23:00Z</dcterms:created>
  <dcterms:modified xsi:type="dcterms:W3CDTF">2020-03-04T01:20:00Z</dcterms:modified>
</cp:coreProperties>
</file>