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7C0" w:rsidRDefault="008248EB" w:rsidP="00B23DFD">
      <w:pPr>
        <w:snapToGrid w:val="0"/>
        <w:spacing w:line="360" w:lineRule="auto"/>
        <w:jc w:val="center"/>
        <w:rPr>
          <w:b/>
          <w:sz w:val="40"/>
          <w:szCs w:val="40"/>
        </w:rPr>
      </w:pPr>
      <w:bookmarkStart w:id="0" w:name="_GoBack"/>
      <w:bookmarkEnd w:id="0"/>
      <w:r w:rsidRPr="001D67C0">
        <w:rPr>
          <w:rFonts w:hint="eastAsia"/>
          <w:b/>
          <w:sz w:val="40"/>
          <w:szCs w:val="40"/>
        </w:rPr>
        <w:t>关于将技术先进型服务企业所得税政策</w:t>
      </w:r>
    </w:p>
    <w:p w:rsidR="008248EB" w:rsidRPr="001D67C0" w:rsidRDefault="008248EB" w:rsidP="00B23DFD">
      <w:pPr>
        <w:snapToGrid w:val="0"/>
        <w:spacing w:line="360" w:lineRule="auto"/>
        <w:jc w:val="center"/>
        <w:rPr>
          <w:b/>
          <w:sz w:val="40"/>
          <w:szCs w:val="40"/>
        </w:rPr>
      </w:pPr>
      <w:r w:rsidRPr="001D67C0">
        <w:rPr>
          <w:rFonts w:hint="eastAsia"/>
          <w:b/>
          <w:sz w:val="40"/>
          <w:szCs w:val="40"/>
        </w:rPr>
        <w:t>推广至全国实施的通知</w:t>
      </w:r>
    </w:p>
    <w:p w:rsidR="008248EB" w:rsidRDefault="008248EB" w:rsidP="00B23DFD">
      <w:pPr>
        <w:snapToGrid w:val="0"/>
        <w:spacing w:line="360" w:lineRule="auto"/>
        <w:jc w:val="center"/>
      </w:pPr>
      <w:r>
        <w:rPr>
          <w:rFonts w:hint="eastAsia"/>
        </w:rPr>
        <w:t>财税〔</w:t>
      </w:r>
      <w:r>
        <w:rPr>
          <w:rFonts w:hint="eastAsia"/>
        </w:rPr>
        <w:t>2017</w:t>
      </w:r>
      <w:r>
        <w:rPr>
          <w:rFonts w:hint="eastAsia"/>
        </w:rPr>
        <w:t>〕</w:t>
      </w:r>
      <w:r>
        <w:rPr>
          <w:rFonts w:hint="eastAsia"/>
        </w:rPr>
        <w:t>79</w:t>
      </w:r>
      <w:r>
        <w:rPr>
          <w:rFonts w:hint="eastAsia"/>
        </w:rPr>
        <w:t>号</w:t>
      </w:r>
    </w:p>
    <w:p w:rsidR="00B23DFD" w:rsidRDefault="00B23DFD" w:rsidP="00B23DFD">
      <w:pPr>
        <w:snapToGrid w:val="0"/>
        <w:spacing w:line="360" w:lineRule="auto"/>
        <w:jc w:val="center"/>
      </w:pPr>
    </w:p>
    <w:p w:rsidR="008248EB" w:rsidRDefault="008248EB" w:rsidP="00B23DFD">
      <w:pPr>
        <w:snapToGrid w:val="0"/>
        <w:spacing w:line="360" w:lineRule="auto"/>
      </w:pPr>
    </w:p>
    <w:p w:rsidR="008248EB" w:rsidRDefault="008248EB" w:rsidP="00B23DFD">
      <w:pPr>
        <w:snapToGrid w:val="0"/>
        <w:spacing w:line="360" w:lineRule="auto"/>
      </w:pPr>
      <w:r>
        <w:rPr>
          <w:rFonts w:hint="eastAsia"/>
        </w:rPr>
        <w:t>各省、自治区、直辖市、计划单列市财政厅（局）、国家税务局、地方税务局、商务主管部门、科技厅（委、局）、发展改革委，新疆生产建设兵团财务局、商务局、科技局、发展改革委：</w:t>
      </w:r>
    </w:p>
    <w:p w:rsidR="008248EB" w:rsidRDefault="008248EB" w:rsidP="00B23DFD">
      <w:pPr>
        <w:snapToGrid w:val="0"/>
        <w:spacing w:line="360" w:lineRule="auto"/>
      </w:pPr>
    </w:p>
    <w:p w:rsidR="008248EB" w:rsidRDefault="008248EB" w:rsidP="00B23DFD">
      <w:pPr>
        <w:snapToGrid w:val="0"/>
        <w:spacing w:line="360" w:lineRule="auto"/>
      </w:pPr>
      <w:r>
        <w:rPr>
          <w:rFonts w:hint="eastAsia"/>
        </w:rPr>
        <w:t xml:space="preserve">　　为贯彻落实《国务院关于促进外资增长若干措施的通知》（国发〔</w:t>
      </w:r>
      <w:r>
        <w:rPr>
          <w:rFonts w:hint="eastAsia"/>
        </w:rPr>
        <w:t>2017</w:t>
      </w:r>
      <w:r>
        <w:rPr>
          <w:rFonts w:hint="eastAsia"/>
        </w:rPr>
        <w:t>〕</w:t>
      </w:r>
      <w:r>
        <w:rPr>
          <w:rFonts w:hint="eastAsia"/>
        </w:rPr>
        <w:t>39</w:t>
      </w:r>
      <w:r>
        <w:rPr>
          <w:rFonts w:hint="eastAsia"/>
        </w:rPr>
        <w:t>号）要求，发挥外资对优化服务贸易结构的积极作用，引导外资更多投向高技术、高附加值服务业，促进企业技术创新和技术服务能力的提升，增强我国服务业的综合竞争力，现就技术先进型服务企业有关企业所得税政策问题通知如下：</w:t>
      </w:r>
    </w:p>
    <w:p w:rsidR="008248EB" w:rsidRDefault="008248EB" w:rsidP="00B23DFD">
      <w:pPr>
        <w:snapToGrid w:val="0"/>
        <w:spacing w:line="360" w:lineRule="auto"/>
      </w:pPr>
    </w:p>
    <w:p w:rsidR="008248EB" w:rsidRDefault="008248EB" w:rsidP="00B23DFD">
      <w:pPr>
        <w:snapToGrid w:val="0"/>
        <w:spacing w:line="360" w:lineRule="auto"/>
      </w:pPr>
      <w:r>
        <w:rPr>
          <w:rFonts w:hint="eastAsia"/>
        </w:rPr>
        <w:t xml:space="preserve">　　一、自</w:t>
      </w:r>
      <w:r>
        <w:rPr>
          <w:rFonts w:hint="eastAsia"/>
        </w:rPr>
        <w:t>2017</w:t>
      </w:r>
      <w:r>
        <w:rPr>
          <w:rFonts w:hint="eastAsia"/>
        </w:rPr>
        <w:t>年</w:t>
      </w:r>
      <w:r>
        <w:rPr>
          <w:rFonts w:hint="eastAsia"/>
        </w:rPr>
        <w:t>1</w:t>
      </w:r>
      <w:r>
        <w:rPr>
          <w:rFonts w:hint="eastAsia"/>
        </w:rPr>
        <w:t>月</w:t>
      </w:r>
      <w:r>
        <w:rPr>
          <w:rFonts w:hint="eastAsia"/>
        </w:rPr>
        <w:t>1</w:t>
      </w:r>
      <w:r>
        <w:rPr>
          <w:rFonts w:hint="eastAsia"/>
        </w:rPr>
        <w:t>日起，在全国范围内实行以下企业所得税优惠政策：</w:t>
      </w:r>
    </w:p>
    <w:p w:rsidR="008248EB" w:rsidRDefault="008248EB" w:rsidP="00B23DFD">
      <w:pPr>
        <w:snapToGrid w:val="0"/>
        <w:spacing w:line="360" w:lineRule="auto"/>
      </w:pPr>
      <w:r>
        <w:rPr>
          <w:rFonts w:hint="eastAsia"/>
        </w:rPr>
        <w:t xml:space="preserve">　　</w:t>
      </w:r>
      <w:r>
        <w:rPr>
          <w:rFonts w:hint="eastAsia"/>
        </w:rPr>
        <w:t>1.</w:t>
      </w:r>
      <w:r>
        <w:rPr>
          <w:rFonts w:hint="eastAsia"/>
        </w:rPr>
        <w:t>对经认定的技术先进型服务企业，减按</w:t>
      </w:r>
      <w:r>
        <w:rPr>
          <w:rFonts w:hint="eastAsia"/>
        </w:rPr>
        <w:t>15%</w:t>
      </w:r>
      <w:r>
        <w:rPr>
          <w:rFonts w:hint="eastAsia"/>
        </w:rPr>
        <w:t>的税率征收企业所得税。</w:t>
      </w:r>
    </w:p>
    <w:p w:rsidR="008248EB" w:rsidRDefault="008248EB" w:rsidP="00B23DFD">
      <w:pPr>
        <w:snapToGrid w:val="0"/>
        <w:spacing w:line="360" w:lineRule="auto"/>
      </w:pPr>
      <w:r>
        <w:rPr>
          <w:rFonts w:hint="eastAsia"/>
        </w:rPr>
        <w:t xml:space="preserve">　　</w:t>
      </w:r>
      <w:r>
        <w:rPr>
          <w:rFonts w:hint="eastAsia"/>
        </w:rPr>
        <w:t>2.</w:t>
      </w:r>
      <w:r>
        <w:rPr>
          <w:rFonts w:hint="eastAsia"/>
        </w:rPr>
        <w:t>经认定的技术先进型服务企业发生的职工教育经费支出，不超过工资薪金总额</w:t>
      </w:r>
      <w:r>
        <w:rPr>
          <w:rFonts w:hint="eastAsia"/>
        </w:rPr>
        <w:t>8%</w:t>
      </w:r>
      <w:r>
        <w:rPr>
          <w:rFonts w:hint="eastAsia"/>
        </w:rPr>
        <w:t>的部分，准予在计算应纳税所得额时扣除；超过部分，准予在以后纳税年度结转扣除。</w:t>
      </w:r>
    </w:p>
    <w:p w:rsidR="008248EB" w:rsidRDefault="008248EB" w:rsidP="00B23DFD">
      <w:pPr>
        <w:snapToGrid w:val="0"/>
        <w:spacing w:line="360" w:lineRule="auto"/>
      </w:pPr>
    </w:p>
    <w:p w:rsidR="008248EB" w:rsidRDefault="008248EB" w:rsidP="00B23DFD">
      <w:pPr>
        <w:snapToGrid w:val="0"/>
        <w:spacing w:line="360" w:lineRule="auto"/>
      </w:pPr>
      <w:r>
        <w:rPr>
          <w:rFonts w:hint="eastAsia"/>
        </w:rPr>
        <w:t xml:space="preserve">　　二、享受本通知第一条规定的企业所得税优惠政策的技术先进型服务企业必须同时符合以下条件：</w:t>
      </w:r>
    </w:p>
    <w:p w:rsidR="008248EB" w:rsidRDefault="008248EB" w:rsidP="00B23DFD">
      <w:pPr>
        <w:snapToGrid w:val="0"/>
        <w:spacing w:line="360" w:lineRule="auto"/>
      </w:pPr>
      <w:r>
        <w:rPr>
          <w:rFonts w:hint="eastAsia"/>
        </w:rPr>
        <w:t xml:space="preserve">　　</w:t>
      </w:r>
      <w:r>
        <w:rPr>
          <w:rFonts w:hint="eastAsia"/>
        </w:rPr>
        <w:t>1.</w:t>
      </w:r>
      <w:r>
        <w:rPr>
          <w:rFonts w:hint="eastAsia"/>
        </w:rPr>
        <w:t>在中国境内（不包括港、澳、台地区）注册的法人企业；</w:t>
      </w:r>
    </w:p>
    <w:p w:rsidR="008248EB" w:rsidRDefault="008248EB" w:rsidP="00B23DFD">
      <w:pPr>
        <w:snapToGrid w:val="0"/>
        <w:spacing w:line="360" w:lineRule="auto"/>
      </w:pPr>
      <w:r>
        <w:rPr>
          <w:rFonts w:hint="eastAsia"/>
        </w:rPr>
        <w:t xml:space="preserve">　　</w:t>
      </w:r>
      <w:r>
        <w:rPr>
          <w:rFonts w:hint="eastAsia"/>
        </w:rPr>
        <w:t>2.</w:t>
      </w:r>
      <w:r>
        <w:rPr>
          <w:rFonts w:hint="eastAsia"/>
        </w:rPr>
        <w:t>从事《技术先进型服务业务认定范围（试行）》（详见附件）中的一种或多种技术先进型服务业务，采用先进技术或具备较强的研发能力；</w:t>
      </w:r>
    </w:p>
    <w:p w:rsidR="008248EB" w:rsidRDefault="008248EB" w:rsidP="00B23DFD">
      <w:pPr>
        <w:snapToGrid w:val="0"/>
        <w:spacing w:line="360" w:lineRule="auto"/>
      </w:pPr>
      <w:r>
        <w:rPr>
          <w:rFonts w:hint="eastAsia"/>
        </w:rPr>
        <w:t xml:space="preserve">　　</w:t>
      </w:r>
      <w:r>
        <w:rPr>
          <w:rFonts w:hint="eastAsia"/>
        </w:rPr>
        <w:t>3.</w:t>
      </w:r>
      <w:r>
        <w:rPr>
          <w:rFonts w:hint="eastAsia"/>
        </w:rPr>
        <w:t>具有大专以上学历的员工占企业职工总数的</w:t>
      </w:r>
      <w:r>
        <w:rPr>
          <w:rFonts w:hint="eastAsia"/>
        </w:rPr>
        <w:t>50%</w:t>
      </w:r>
      <w:r>
        <w:rPr>
          <w:rFonts w:hint="eastAsia"/>
        </w:rPr>
        <w:t>以上；</w:t>
      </w:r>
    </w:p>
    <w:p w:rsidR="008248EB" w:rsidRDefault="008248EB" w:rsidP="00B23DFD">
      <w:pPr>
        <w:snapToGrid w:val="0"/>
        <w:spacing w:line="360" w:lineRule="auto"/>
      </w:pPr>
      <w:r>
        <w:rPr>
          <w:rFonts w:hint="eastAsia"/>
        </w:rPr>
        <w:t xml:space="preserve">　　</w:t>
      </w:r>
      <w:r>
        <w:rPr>
          <w:rFonts w:hint="eastAsia"/>
        </w:rPr>
        <w:t>4.</w:t>
      </w:r>
      <w:r>
        <w:rPr>
          <w:rFonts w:hint="eastAsia"/>
        </w:rPr>
        <w:t>从事《技术先进型服务业务认定范围（试行）》中的技术先进型服务业务取得的收入占企业当年总收入的</w:t>
      </w:r>
      <w:r>
        <w:rPr>
          <w:rFonts w:hint="eastAsia"/>
        </w:rPr>
        <w:t>50%</w:t>
      </w:r>
      <w:r>
        <w:rPr>
          <w:rFonts w:hint="eastAsia"/>
        </w:rPr>
        <w:t>以上；</w:t>
      </w:r>
    </w:p>
    <w:p w:rsidR="008248EB" w:rsidRDefault="008248EB" w:rsidP="00B23DFD">
      <w:pPr>
        <w:snapToGrid w:val="0"/>
        <w:spacing w:line="360" w:lineRule="auto"/>
      </w:pPr>
      <w:r>
        <w:rPr>
          <w:rFonts w:hint="eastAsia"/>
        </w:rPr>
        <w:t xml:space="preserve">　　</w:t>
      </w:r>
      <w:r>
        <w:rPr>
          <w:rFonts w:hint="eastAsia"/>
        </w:rPr>
        <w:t>5.</w:t>
      </w:r>
      <w:r>
        <w:rPr>
          <w:rFonts w:hint="eastAsia"/>
        </w:rPr>
        <w:t>从事离岸服务外包业务取得的收入不低于企业当年总收入的</w:t>
      </w:r>
      <w:r>
        <w:rPr>
          <w:rFonts w:hint="eastAsia"/>
        </w:rPr>
        <w:t>35%</w:t>
      </w:r>
      <w:r>
        <w:rPr>
          <w:rFonts w:hint="eastAsia"/>
        </w:rPr>
        <w:t>。</w:t>
      </w:r>
    </w:p>
    <w:p w:rsidR="008248EB" w:rsidRDefault="008248EB" w:rsidP="00B23DFD">
      <w:pPr>
        <w:snapToGrid w:val="0"/>
        <w:spacing w:line="360" w:lineRule="auto"/>
      </w:pPr>
      <w:r>
        <w:rPr>
          <w:rFonts w:hint="eastAsia"/>
        </w:rPr>
        <w:t xml:space="preserve">　　从事离岸服务外包业务取得的收入，是指企业根据境外单位与其签订的委托合同，由本企业或其直接转包的企业为境外单位提供《技术先进型服务业务认定范围（试行）》中所规定的信息技术外包服务（</w:t>
      </w:r>
      <w:r>
        <w:rPr>
          <w:rFonts w:hint="eastAsia"/>
        </w:rPr>
        <w:t>ITO</w:t>
      </w:r>
      <w:r>
        <w:rPr>
          <w:rFonts w:hint="eastAsia"/>
        </w:rPr>
        <w:t>）、技术性业务流程外包服务（</w:t>
      </w:r>
      <w:r>
        <w:rPr>
          <w:rFonts w:hint="eastAsia"/>
        </w:rPr>
        <w:t>BPO</w:t>
      </w:r>
      <w:r>
        <w:rPr>
          <w:rFonts w:hint="eastAsia"/>
        </w:rPr>
        <w:t>）和技术性知识流程外包服务（</w:t>
      </w:r>
      <w:r>
        <w:rPr>
          <w:rFonts w:hint="eastAsia"/>
        </w:rPr>
        <w:t>KPO</w:t>
      </w:r>
      <w:r>
        <w:rPr>
          <w:rFonts w:hint="eastAsia"/>
        </w:rPr>
        <w:t>），而从上述境外单位取得的收入。</w:t>
      </w:r>
    </w:p>
    <w:p w:rsidR="008248EB" w:rsidRDefault="008248EB" w:rsidP="00B23DFD">
      <w:pPr>
        <w:snapToGrid w:val="0"/>
        <w:spacing w:line="360" w:lineRule="auto"/>
      </w:pPr>
    </w:p>
    <w:p w:rsidR="008248EB" w:rsidRDefault="008248EB" w:rsidP="00B23DFD">
      <w:pPr>
        <w:snapToGrid w:val="0"/>
        <w:spacing w:line="360" w:lineRule="auto"/>
      </w:pPr>
      <w:r>
        <w:rPr>
          <w:rFonts w:hint="eastAsia"/>
        </w:rPr>
        <w:lastRenderedPageBreak/>
        <w:t xml:space="preserve">　　三、技术先进型服务企业的认定管理</w:t>
      </w:r>
    </w:p>
    <w:p w:rsidR="008248EB" w:rsidRDefault="008248EB" w:rsidP="00B23DFD">
      <w:pPr>
        <w:snapToGrid w:val="0"/>
        <w:spacing w:line="360" w:lineRule="auto"/>
      </w:pPr>
      <w:r>
        <w:rPr>
          <w:rFonts w:hint="eastAsia"/>
        </w:rPr>
        <w:t xml:space="preserve">　　</w:t>
      </w:r>
      <w:r>
        <w:rPr>
          <w:rFonts w:hint="eastAsia"/>
        </w:rPr>
        <w:t>1.</w:t>
      </w:r>
      <w:r>
        <w:rPr>
          <w:rFonts w:hint="eastAsia"/>
        </w:rPr>
        <w:t>省级科技部门会同本级商务、财政、税务和发展改革部门根据本通知规定制定本省（自治区、直辖市、计划单列市）技术先进型服务企业认定管理办法，并负责本地区技术先进型服务企业的认定管理工作。各省（自治区、直辖市、计划单列市）技术先进型服务企业认定管理办法应报科技部、商务部、财政部、税务总局和国家发展改革委备案。</w:t>
      </w:r>
    </w:p>
    <w:p w:rsidR="008248EB" w:rsidRDefault="008248EB" w:rsidP="00B23DFD">
      <w:pPr>
        <w:snapToGrid w:val="0"/>
        <w:spacing w:line="360" w:lineRule="auto"/>
      </w:pPr>
      <w:r>
        <w:rPr>
          <w:rFonts w:hint="eastAsia"/>
        </w:rPr>
        <w:t xml:space="preserve">　　</w:t>
      </w:r>
      <w:r>
        <w:rPr>
          <w:rFonts w:hint="eastAsia"/>
        </w:rPr>
        <w:t>2.</w:t>
      </w:r>
      <w:r>
        <w:rPr>
          <w:rFonts w:hint="eastAsia"/>
        </w:rPr>
        <w:t>符合条件的技术先进型服务企业应向所在省级科技部门提出申请，由省级科技部门会同本级商务、财政、税务和发展改革部门联合评审后发文认定，并将认定企业名单及有关情况通过科技部“全国技术先进型服务企业业务办理管理平台”备案，科技部与商务部、财政部、税务总局和国家发展改革委共享备案信息。符合条件的技术先进型服务企业须在商务部“服务贸易统计监测管理信息系统（服务外包信息管理应用）”中填报企业基本信息，按时报送数据。</w:t>
      </w:r>
    </w:p>
    <w:p w:rsidR="008248EB" w:rsidRDefault="008248EB" w:rsidP="00B23DFD">
      <w:pPr>
        <w:snapToGrid w:val="0"/>
        <w:spacing w:line="360" w:lineRule="auto"/>
      </w:pPr>
      <w:r>
        <w:rPr>
          <w:rFonts w:hint="eastAsia"/>
        </w:rPr>
        <w:t xml:space="preserve">　　</w:t>
      </w:r>
      <w:r>
        <w:rPr>
          <w:rFonts w:hint="eastAsia"/>
        </w:rPr>
        <w:t>3.</w:t>
      </w:r>
      <w:r>
        <w:rPr>
          <w:rFonts w:hint="eastAsia"/>
        </w:rPr>
        <w:t>经认定的技术先进型服务企业，持相关认定文件向所在地主管税务机关办理享受本通知第一条规定的企业所得税优惠政策事宜。享受企业所得税优惠的技术先进型服务企业条件发生变化的，应当自发生变化之日起</w:t>
      </w:r>
      <w:r>
        <w:rPr>
          <w:rFonts w:hint="eastAsia"/>
        </w:rPr>
        <w:t>15</w:t>
      </w:r>
      <w:r>
        <w:rPr>
          <w:rFonts w:hint="eastAsia"/>
        </w:rPr>
        <w:t>日内向主管税务机关报告；不再符合享受税收优惠条件的，应当依法履行纳税义务。主管税务机关在执行税收优惠政策过程中，发现企业不具备技术先进型服务企业资格的，应提请认定机构复核。复核后确认不符合认定条件的，应取消企业享受税收优惠政策的资格。</w:t>
      </w:r>
    </w:p>
    <w:p w:rsidR="008248EB" w:rsidRDefault="008248EB" w:rsidP="00B23DFD">
      <w:pPr>
        <w:snapToGrid w:val="0"/>
        <w:spacing w:line="360" w:lineRule="auto"/>
      </w:pPr>
      <w:r>
        <w:rPr>
          <w:rFonts w:hint="eastAsia"/>
        </w:rPr>
        <w:t xml:space="preserve">　　</w:t>
      </w:r>
      <w:r>
        <w:rPr>
          <w:rFonts w:hint="eastAsia"/>
        </w:rPr>
        <w:t>4.</w:t>
      </w:r>
      <w:r>
        <w:rPr>
          <w:rFonts w:hint="eastAsia"/>
        </w:rPr>
        <w:t>省级科技、商务、财政、税务和发展改革部门对经认定并享受税收优惠政策的技术先进型服务企业应做好跟踪管理，对变更经营范围、合并、分立、转业、迁移的企业，如不再符合认定条件，应及时取消其享受税收优惠政策的资格。</w:t>
      </w:r>
    </w:p>
    <w:p w:rsidR="008248EB" w:rsidRDefault="008248EB" w:rsidP="00B23DFD">
      <w:pPr>
        <w:snapToGrid w:val="0"/>
        <w:spacing w:line="360" w:lineRule="auto"/>
      </w:pPr>
      <w:r>
        <w:rPr>
          <w:rFonts w:hint="eastAsia"/>
        </w:rPr>
        <w:t xml:space="preserve">　　</w:t>
      </w:r>
      <w:r>
        <w:rPr>
          <w:rFonts w:hint="eastAsia"/>
        </w:rPr>
        <w:t>5.</w:t>
      </w:r>
      <w:r>
        <w:rPr>
          <w:rFonts w:hint="eastAsia"/>
        </w:rPr>
        <w:t>省级财政、税务、商务、科技和发展改革部门要认真贯彻落实本通知的各项规定，在认定工作中对内外资企业一视同仁，平等对待，切实做好沟通与协作工作。在政策实施过程中发现问题，要及时反映上报财政部、税务总局、商务部、科技部和国家发展改革委。</w:t>
      </w:r>
    </w:p>
    <w:p w:rsidR="008248EB" w:rsidRDefault="008248EB" w:rsidP="00B23DFD">
      <w:pPr>
        <w:snapToGrid w:val="0"/>
        <w:spacing w:line="360" w:lineRule="auto"/>
      </w:pPr>
      <w:r>
        <w:rPr>
          <w:rFonts w:hint="eastAsia"/>
        </w:rPr>
        <w:t xml:space="preserve">　　</w:t>
      </w:r>
      <w:r>
        <w:rPr>
          <w:rFonts w:hint="eastAsia"/>
        </w:rPr>
        <w:t>6.</w:t>
      </w:r>
      <w:r>
        <w:rPr>
          <w:rFonts w:hint="eastAsia"/>
        </w:rPr>
        <w:t>省级科技、商务、财政、税务和发展改革部门及其工作人员在认定技术先进型服务企业工作中，存在违法违纪行为的，按照《公务员法》《行政监察法》等国家有关规定追究相应责任；涉嫌犯罪的，移送司法机关处理。</w:t>
      </w:r>
    </w:p>
    <w:p w:rsidR="008248EB" w:rsidRDefault="008248EB" w:rsidP="00B23DFD">
      <w:pPr>
        <w:snapToGrid w:val="0"/>
        <w:spacing w:line="360" w:lineRule="auto"/>
      </w:pPr>
      <w:r>
        <w:rPr>
          <w:rFonts w:hint="eastAsia"/>
        </w:rPr>
        <w:t xml:space="preserve">　　</w:t>
      </w:r>
      <w:r>
        <w:rPr>
          <w:rFonts w:hint="eastAsia"/>
        </w:rPr>
        <w:t>7.</w:t>
      </w:r>
      <w:r>
        <w:rPr>
          <w:rFonts w:hint="eastAsia"/>
        </w:rPr>
        <w:t>本通知印发后，各地应按照本通知规定于</w:t>
      </w:r>
      <w:r>
        <w:rPr>
          <w:rFonts w:hint="eastAsia"/>
        </w:rPr>
        <w:t>2017</w:t>
      </w:r>
      <w:r>
        <w:rPr>
          <w:rFonts w:hint="eastAsia"/>
        </w:rPr>
        <w:t>年</w:t>
      </w:r>
      <w:r>
        <w:rPr>
          <w:rFonts w:hint="eastAsia"/>
        </w:rPr>
        <w:t>12</w:t>
      </w:r>
      <w:r>
        <w:rPr>
          <w:rFonts w:hint="eastAsia"/>
        </w:rPr>
        <w:t>月</w:t>
      </w:r>
      <w:r>
        <w:rPr>
          <w:rFonts w:hint="eastAsia"/>
        </w:rPr>
        <w:t>31</w:t>
      </w:r>
      <w:r>
        <w:rPr>
          <w:rFonts w:hint="eastAsia"/>
        </w:rPr>
        <w:t>日前出台本省（自治区、直辖市、计划单列市）技术先进型服务企业认定管理办法并据此开展认定工作。现有</w:t>
      </w:r>
      <w:r>
        <w:rPr>
          <w:rFonts w:hint="eastAsia"/>
        </w:rPr>
        <w:t>31</w:t>
      </w:r>
      <w:r>
        <w:rPr>
          <w:rFonts w:hint="eastAsia"/>
        </w:rPr>
        <w:t>个中国服务外包示范城市已认定的</w:t>
      </w:r>
      <w:r>
        <w:rPr>
          <w:rFonts w:hint="eastAsia"/>
        </w:rPr>
        <w:t>2017</w:t>
      </w:r>
      <w:r>
        <w:rPr>
          <w:rFonts w:hint="eastAsia"/>
        </w:rPr>
        <w:t>年度技术先进型服务企业继续有效。从</w:t>
      </w:r>
      <w:r>
        <w:rPr>
          <w:rFonts w:hint="eastAsia"/>
        </w:rPr>
        <w:t>2018</w:t>
      </w:r>
      <w:r>
        <w:rPr>
          <w:rFonts w:hint="eastAsia"/>
        </w:rPr>
        <w:t>年</w:t>
      </w:r>
      <w:r>
        <w:rPr>
          <w:rFonts w:hint="eastAsia"/>
        </w:rPr>
        <w:t>1</w:t>
      </w:r>
      <w:r>
        <w:rPr>
          <w:rFonts w:hint="eastAsia"/>
        </w:rPr>
        <w:t>月</w:t>
      </w:r>
      <w:r>
        <w:rPr>
          <w:rFonts w:hint="eastAsia"/>
        </w:rPr>
        <w:t>1</w:t>
      </w:r>
      <w:r>
        <w:rPr>
          <w:rFonts w:hint="eastAsia"/>
        </w:rPr>
        <w:t>日起，中国服务外包示范城市技术先进型服务企业认定管理工作依照所在省（自治区、直辖市、计划单列市）制定的管理办法实施。</w:t>
      </w:r>
    </w:p>
    <w:p w:rsidR="008248EB" w:rsidRDefault="008248EB" w:rsidP="00B23DFD">
      <w:pPr>
        <w:snapToGrid w:val="0"/>
        <w:spacing w:line="360" w:lineRule="auto"/>
      </w:pPr>
    </w:p>
    <w:p w:rsidR="008248EB" w:rsidRDefault="008248EB" w:rsidP="00B23DFD">
      <w:pPr>
        <w:snapToGrid w:val="0"/>
        <w:spacing w:line="360" w:lineRule="auto"/>
      </w:pPr>
      <w:r>
        <w:rPr>
          <w:rFonts w:hint="eastAsia"/>
        </w:rPr>
        <w:t xml:space="preserve">　　附件：技术先进型服务业务认定范围（试行）</w:t>
      </w:r>
    </w:p>
    <w:p w:rsidR="008248EB" w:rsidRDefault="008248EB" w:rsidP="00B23DFD">
      <w:pPr>
        <w:snapToGrid w:val="0"/>
        <w:spacing w:line="360" w:lineRule="auto"/>
      </w:pPr>
    </w:p>
    <w:p w:rsidR="008248EB" w:rsidRDefault="008248EB" w:rsidP="00B23DFD">
      <w:pPr>
        <w:snapToGrid w:val="0"/>
        <w:spacing w:line="360" w:lineRule="auto"/>
      </w:pPr>
      <w:r>
        <w:lastRenderedPageBreak/>
        <w:t xml:space="preserve"> </w:t>
      </w:r>
    </w:p>
    <w:p w:rsidR="008248EB" w:rsidRDefault="008248EB" w:rsidP="00B23DFD">
      <w:pPr>
        <w:snapToGrid w:val="0"/>
        <w:spacing w:line="360" w:lineRule="auto"/>
      </w:pPr>
    </w:p>
    <w:p w:rsidR="00B23DFD" w:rsidRDefault="008248EB" w:rsidP="00B23DFD">
      <w:pPr>
        <w:snapToGrid w:val="0"/>
        <w:spacing w:line="360" w:lineRule="auto"/>
        <w:ind w:firstLine="405"/>
        <w:jc w:val="right"/>
      </w:pPr>
      <w:r>
        <w:rPr>
          <w:rFonts w:hint="eastAsia"/>
        </w:rPr>
        <w:t xml:space="preserve">财政部　</w:t>
      </w:r>
    </w:p>
    <w:p w:rsidR="00B23DFD" w:rsidRDefault="008248EB" w:rsidP="00B23DFD">
      <w:pPr>
        <w:snapToGrid w:val="0"/>
        <w:spacing w:line="360" w:lineRule="auto"/>
        <w:ind w:firstLine="405"/>
        <w:jc w:val="right"/>
      </w:pPr>
      <w:r>
        <w:rPr>
          <w:rFonts w:hint="eastAsia"/>
        </w:rPr>
        <w:t xml:space="preserve">税务总局　</w:t>
      </w:r>
    </w:p>
    <w:p w:rsidR="00B23DFD" w:rsidRDefault="008248EB" w:rsidP="00B23DFD">
      <w:pPr>
        <w:snapToGrid w:val="0"/>
        <w:spacing w:line="360" w:lineRule="auto"/>
        <w:ind w:firstLine="405"/>
        <w:jc w:val="right"/>
      </w:pPr>
      <w:r>
        <w:rPr>
          <w:rFonts w:hint="eastAsia"/>
        </w:rPr>
        <w:t xml:space="preserve">商务部　</w:t>
      </w:r>
    </w:p>
    <w:p w:rsidR="00B23DFD" w:rsidRDefault="008248EB" w:rsidP="00B23DFD">
      <w:pPr>
        <w:snapToGrid w:val="0"/>
        <w:spacing w:line="360" w:lineRule="auto"/>
        <w:ind w:firstLine="405"/>
        <w:jc w:val="right"/>
      </w:pPr>
      <w:r>
        <w:rPr>
          <w:rFonts w:hint="eastAsia"/>
        </w:rPr>
        <w:t xml:space="preserve">科技部　</w:t>
      </w:r>
    </w:p>
    <w:p w:rsidR="008248EB" w:rsidRDefault="008248EB" w:rsidP="00B23DFD">
      <w:pPr>
        <w:snapToGrid w:val="0"/>
        <w:spacing w:line="360" w:lineRule="auto"/>
        <w:ind w:firstLine="405"/>
        <w:jc w:val="right"/>
      </w:pPr>
      <w:r>
        <w:rPr>
          <w:rFonts w:hint="eastAsia"/>
        </w:rPr>
        <w:t>国家发展改革委</w:t>
      </w:r>
    </w:p>
    <w:p w:rsidR="008248EB" w:rsidRDefault="008248EB" w:rsidP="00B23DFD">
      <w:pPr>
        <w:snapToGrid w:val="0"/>
        <w:spacing w:line="360" w:lineRule="auto"/>
        <w:jc w:val="right"/>
      </w:pPr>
      <w:r>
        <w:rPr>
          <w:rFonts w:hint="eastAsia"/>
        </w:rPr>
        <w:t xml:space="preserve">　　</w:t>
      </w:r>
      <w:r>
        <w:rPr>
          <w:rFonts w:hint="eastAsia"/>
        </w:rPr>
        <w:t>2017</w:t>
      </w:r>
      <w:r>
        <w:rPr>
          <w:rFonts w:hint="eastAsia"/>
        </w:rPr>
        <w:t>年</w:t>
      </w:r>
      <w:r>
        <w:rPr>
          <w:rFonts w:hint="eastAsia"/>
        </w:rPr>
        <w:t>11</w:t>
      </w:r>
      <w:r>
        <w:rPr>
          <w:rFonts w:hint="eastAsia"/>
        </w:rPr>
        <w:t>月</w:t>
      </w:r>
      <w:r>
        <w:rPr>
          <w:rFonts w:hint="eastAsia"/>
        </w:rPr>
        <w:t>2</w:t>
      </w:r>
      <w:r>
        <w:rPr>
          <w:rFonts w:hint="eastAsia"/>
        </w:rPr>
        <w:t>日</w:t>
      </w:r>
    </w:p>
    <w:p w:rsidR="008248EB" w:rsidRDefault="008248EB" w:rsidP="00B23DFD">
      <w:pPr>
        <w:snapToGrid w:val="0"/>
        <w:spacing w:line="360" w:lineRule="auto"/>
      </w:pPr>
    </w:p>
    <w:p w:rsidR="001D67C0" w:rsidRDefault="001D67C0" w:rsidP="00B23DFD">
      <w:pPr>
        <w:snapToGrid w:val="0"/>
        <w:spacing w:line="360" w:lineRule="auto"/>
      </w:pPr>
    </w:p>
    <w:p w:rsidR="008248EB" w:rsidRDefault="008248EB" w:rsidP="00B23DFD">
      <w:pPr>
        <w:snapToGrid w:val="0"/>
        <w:spacing w:line="360" w:lineRule="auto"/>
      </w:pPr>
      <w:r>
        <w:rPr>
          <w:rFonts w:hint="eastAsia"/>
        </w:rPr>
        <w:t>附件：</w:t>
      </w:r>
    </w:p>
    <w:p w:rsidR="008248EB" w:rsidRDefault="008248EB" w:rsidP="00B23DFD">
      <w:pPr>
        <w:snapToGrid w:val="0"/>
        <w:spacing w:line="360" w:lineRule="auto"/>
      </w:pPr>
    </w:p>
    <w:p w:rsidR="001D67C0" w:rsidRDefault="008248EB" w:rsidP="001D67C0">
      <w:pPr>
        <w:snapToGrid w:val="0"/>
        <w:spacing w:line="360" w:lineRule="auto"/>
        <w:jc w:val="center"/>
        <w:rPr>
          <w:b/>
          <w:sz w:val="40"/>
          <w:szCs w:val="40"/>
        </w:rPr>
      </w:pPr>
      <w:r w:rsidRPr="001D67C0">
        <w:rPr>
          <w:rFonts w:hint="eastAsia"/>
          <w:b/>
          <w:sz w:val="40"/>
          <w:szCs w:val="40"/>
        </w:rPr>
        <w:t>技术先进型服务业务认定范围</w:t>
      </w:r>
    </w:p>
    <w:p w:rsidR="008248EB" w:rsidRPr="001D67C0" w:rsidRDefault="008248EB" w:rsidP="001D67C0">
      <w:pPr>
        <w:snapToGrid w:val="0"/>
        <w:spacing w:line="360" w:lineRule="auto"/>
        <w:jc w:val="center"/>
        <w:rPr>
          <w:b/>
          <w:sz w:val="40"/>
          <w:szCs w:val="40"/>
        </w:rPr>
      </w:pPr>
      <w:r w:rsidRPr="001D67C0">
        <w:rPr>
          <w:rFonts w:hint="eastAsia"/>
          <w:b/>
          <w:sz w:val="40"/>
          <w:szCs w:val="40"/>
        </w:rPr>
        <w:t>（试行）</w:t>
      </w:r>
    </w:p>
    <w:p w:rsidR="008248EB" w:rsidRDefault="008248EB" w:rsidP="00B23DFD">
      <w:pPr>
        <w:snapToGrid w:val="0"/>
        <w:spacing w:line="360" w:lineRule="auto"/>
      </w:pPr>
    </w:p>
    <w:p w:rsidR="001D67C0" w:rsidRDefault="001D67C0" w:rsidP="00B23DFD">
      <w:pPr>
        <w:snapToGrid w:val="0"/>
        <w:spacing w:line="360" w:lineRule="auto"/>
      </w:pPr>
    </w:p>
    <w:p w:rsidR="008248EB" w:rsidRDefault="008248EB" w:rsidP="00B23DFD">
      <w:pPr>
        <w:snapToGrid w:val="0"/>
        <w:spacing w:line="360" w:lineRule="auto"/>
      </w:pPr>
      <w:r>
        <w:rPr>
          <w:rFonts w:hint="eastAsia"/>
        </w:rPr>
        <w:t xml:space="preserve">　　一、信息技术外包服务（</w:t>
      </w:r>
      <w:r>
        <w:rPr>
          <w:rFonts w:hint="eastAsia"/>
        </w:rPr>
        <w:t>ITO</w:t>
      </w:r>
      <w:r>
        <w:rPr>
          <w:rFonts w:hint="eastAsia"/>
        </w:rPr>
        <w:t>）</w:t>
      </w:r>
    </w:p>
    <w:p w:rsidR="008248EB" w:rsidRDefault="008248EB" w:rsidP="00B23DFD">
      <w:pPr>
        <w:snapToGrid w:val="0"/>
        <w:spacing w:line="360" w:lineRule="auto"/>
      </w:pPr>
    </w:p>
    <w:p w:rsidR="007A7C85" w:rsidRDefault="008248EB" w:rsidP="00B23DFD">
      <w:pPr>
        <w:snapToGrid w:val="0"/>
        <w:spacing w:line="360" w:lineRule="auto"/>
      </w:pPr>
      <w:r>
        <w:rPr>
          <w:rFonts w:hint="eastAsia"/>
        </w:rPr>
        <w:t xml:space="preserve">　　（一）软件研发及外包</w:t>
      </w:r>
    </w:p>
    <w:tbl>
      <w:tblPr>
        <w:tblW w:w="0" w:type="auto"/>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2390"/>
        <w:gridCol w:w="5976"/>
      </w:tblGrid>
      <w:tr w:rsidR="008248EB" w:rsidRPr="008248EB" w:rsidTr="008248EB">
        <w:tc>
          <w:tcPr>
            <w:tcW w:w="24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 xml:space="preserve">　　类　别</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 xml:space="preserve">　　适用范围</w:t>
            </w:r>
          </w:p>
        </w:tc>
      </w:tr>
      <w:tr w:rsidR="008248EB" w:rsidRPr="008248EB" w:rsidTr="008248EB">
        <w:tc>
          <w:tcPr>
            <w:tcW w:w="24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软件研发及开发服务</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用于金融、政府、教育、制造业、零售、服务、能源、物流、交通、媒体、电信、公共事业和医疗卫生等部门和企业，为用户的运营／生产／供应链／客户关系／人力资源和财务管理、计算机辅助设计／工程等业务进行软件开发，包括定制软件开发，嵌入式软件、套装软件开发，系统软件开发、软件测试等。</w:t>
            </w:r>
          </w:p>
        </w:tc>
      </w:tr>
      <w:tr w:rsidR="008248EB" w:rsidRPr="008248EB" w:rsidTr="008248EB">
        <w:tc>
          <w:tcPr>
            <w:tcW w:w="24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软件技术服务</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软件咨询、维护、培训、测试等技术性服务。</w:t>
            </w:r>
          </w:p>
        </w:tc>
      </w:tr>
    </w:tbl>
    <w:p w:rsidR="008248EB" w:rsidRDefault="008248EB" w:rsidP="008248EB"/>
    <w:p w:rsidR="008248EB" w:rsidRDefault="008248EB" w:rsidP="008248EB">
      <w:pPr>
        <w:ind w:firstLine="405"/>
      </w:pPr>
      <w:r w:rsidRPr="008248EB">
        <w:rPr>
          <w:rFonts w:hint="eastAsia"/>
        </w:rPr>
        <w:t>（二）信息技术研发服务外包</w:t>
      </w:r>
    </w:p>
    <w:tbl>
      <w:tblPr>
        <w:tblW w:w="0" w:type="auto"/>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2390"/>
        <w:gridCol w:w="5976"/>
      </w:tblGrid>
      <w:tr w:rsidR="008248EB" w:rsidRPr="008248EB" w:rsidTr="008248EB">
        <w:tc>
          <w:tcPr>
            <w:tcW w:w="24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center"/>
              <w:rPr>
                <w:rFonts w:ascii="Arial" w:eastAsia="SimSun" w:hAnsi="Arial" w:cs="Arial"/>
                <w:color w:val="000000"/>
                <w:kern w:val="0"/>
                <w:sz w:val="24"/>
                <w:szCs w:val="24"/>
              </w:rPr>
            </w:pPr>
            <w:r w:rsidRPr="008248EB">
              <w:rPr>
                <w:rFonts w:ascii="Arial" w:eastAsia="SimSun" w:hAnsi="Arial" w:cs="Arial"/>
                <w:color w:val="000000"/>
                <w:kern w:val="0"/>
                <w:sz w:val="24"/>
                <w:szCs w:val="24"/>
              </w:rPr>
              <w:t>类　别</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center"/>
              <w:rPr>
                <w:rFonts w:ascii="Arial" w:eastAsia="SimSun" w:hAnsi="Arial" w:cs="Arial"/>
                <w:color w:val="000000"/>
                <w:kern w:val="0"/>
                <w:sz w:val="24"/>
                <w:szCs w:val="24"/>
              </w:rPr>
            </w:pPr>
            <w:r w:rsidRPr="008248EB">
              <w:rPr>
                <w:rFonts w:ascii="Arial" w:eastAsia="SimSun" w:hAnsi="Arial" w:cs="Arial"/>
                <w:color w:val="000000"/>
                <w:kern w:val="0"/>
                <w:sz w:val="24"/>
                <w:szCs w:val="24"/>
              </w:rPr>
              <w:t>适用范围</w:t>
            </w:r>
          </w:p>
        </w:tc>
      </w:tr>
      <w:tr w:rsidR="008248EB" w:rsidRPr="008248EB" w:rsidTr="008248EB">
        <w:tc>
          <w:tcPr>
            <w:tcW w:w="24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集成电路和电子电路设计</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集成电路和电子电路产品设计以及相关技术支持服务等。</w:t>
            </w:r>
          </w:p>
        </w:tc>
      </w:tr>
      <w:tr w:rsidR="008248EB" w:rsidRPr="008248EB" w:rsidTr="008248EB">
        <w:tc>
          <w:tcPr>
            <w:tcW w:w="24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 xml:space="preserve">　　测试平台</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为软件、集成电路和电子电路的开发运用提供测试平台。</w:t>
            </w:r>
          </w:p>
        </w:tc>
      </w:tr>
    </w:tbl>
    <w:p w:rsidR="008248EB" w:rsidRDefault="008248EB" w:rsidP="008248EB">
      <w:pPr>
        <w:ind w:firstLine="405"/>
      </w:pPr>
    </w:p>
    <w:p w:rsidR="008248EB" w:rsidRDefault="008248EB" w:rsidP="008248EB">
      <w:pPr>
        <w:ind w:firstLine="405"/>
      </w:pPr>
      <w:r w:rsidRPr="008248EB">
        <w:rPr>
          <w:rFonts w:hint="eastAsia"/>
        </w:rPr>
        <w:t>（三）信息系统运营维护外包</w:t>
      </w:r>
    </w:p>
    <w:tbl>
      <w:tblPr>
        <w:tblW w:w="0" w:type="auto"/>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2390"/>
        <w:gridCol w:w="5976"/>
      </w:tblGrid>
      <w:tr w:rsidR="008248EB" w:rsidRPr="008248EB" w:rsidTr="008248EB">
        <w:tc>
          <w:tcPr>
            <w:tcW w:w="24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center"/>
              <w:rPr>
                <w:rFonts w:ascii="Arial" w:eastAsia="SimSun" w:hAnsi="Arial" w:cs="Arial"/>
                <w:color w:val="000000"/>
                <w:kern w:val="0"/>
                <w:sz w:val="24"/>
                <w:szCs w:val="24"/>
              </w:rPr>
            </w:pPr>
            <w:r w:rsidRPr="008248EB">
              <w:rPr>
                <w:rFonts w:ascii="Arial" w:eastAsia="SimSun" w:hAnsi="Arial" w:cs="Arial"/>
                <w:color w:val="000000"/>
                <w:kern w:val="0"/>
                <w:sz w:val="24"/>
                <w:szCs w:val="24"/>
              </w:rPr>
              <w:t xml:space="preserve">　　类　别</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center"/>
              <w:rPr>
                <w:rFonts w:ascii="Arial" w:eastAsia="SimSun" w:hAnsi="Arial" w:cs="Arial"/>
                <w:color w:val="000000"/>
                <w:kern w:val="0"/>
                <w:sz w:val="24"/>
                <w:szCs w:val="24"/>
              </w:rPr>
            </w:pPr>
            <w:r w:rsidRPr="008248EB">
              <w:rPr>
                <w:rFonts w:ascii="Arial" w:eastAsia="SimSun" w:hAnsi="Arial" w:cs="Arial"/>
                <w:color w:val="000000"/>
                <w:kern w:val="0"/>
                <w:sz w:val="24"/>
                <w:szCs w:val="24"/>
              </w:rPr>
              <w:t>适用范围</w:t>
            </w:r>
          </w:p>
        </w:tc>
      </w:tr>
      <w:tr w:rsidR="008248EB" w:rsidRPr="008248EB" w:rsidTr="008248EB">
        <w:tc>
          <w:tcPr>
            <w:tcW w:w="24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信息系统运营和维护服务</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客户内部信息系统集成、网络管理、桌面管理与维护服务；信息工程、地理信息系统、远程维护等信息系统应用服务。</w:t>
            </w:r>
          </w:p>
        </w:tc>
      </w:tr>
      <w:tr w:rsidR="008248EB" w:rsidRPr="008248EB" w:rsidTr="008248EB">
        <w:tc>
          <w:tcPr>
            <w:tcW w:w="24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基础信息技术服务</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基础信息技术管理平台整合、</w:t>
            </w:r>
            <w:r w:rsidRPr="008248EB">
              <w:rPr>
                <w:rFonts w:ascii="Arial" w:eastAsia="SimSun" w:hAnsi="Arial" w:cs="Arial"/>
                <w:color w:val="000000"/>
                <w:kern w:val="0"/>
                <w:sz w:val="24"/>
                <w:szCs w:val="24"/>
              </w:rPr>
              <w:t>IT</w:t>
            </w:r>
            <w:r w:rsidRPr="008248EB">
              <w:rPr>
                <w:rFonts w:ascii="Arial" w:eastAsia="SimSun" w:hAnsi="Arial" w:cs="Arial"/>
                <w:color w:val="000000"/>
                <w:kern w:val="0"/>
                <w:sz w:val="24"/>
                <w:szCs w:val="24"/>
              </w:rPr>
              <w:t>基础设施管理、数据中心、托管中心、安全服务、通讯服务等基础信息技术服务。</w:t>
            </w:r>
          </w:p>
        </w:tc>
      </w:tr>
    </w:tbl>
    <w:p w:rsidR="008248EB" w:rsidRDefault="008248EB" w:rsidP="008248EB">
      <w:pPr>
        <w:ind w:firstLine="405"/>
      </w:pPr>
    </w:p>
    <w:p w:rsidR="008248EB" w:rsidRDefault="008248EB" w:rsidP="008248EB">
      <w:pPr>
        <w:ind w:firstLine="405"/>
      </w:pPr>
      <w:r w:rsidRPr="008248EB">
        <w:rPr>
          <w:rFonts w:hint="eastAsia"/>
        </w:rPr>
        <w:t>二、技术性业务流程外包服务（</w:t>
      </w:r>
      <w:r w:rsidRPr="008248EB">
        <w:rPr>
          <w:rFonts w:hint="eastAsia"/>
        </w:rPr>
        <w:t>BPO</w:t>
      </w:r>
      <w:r w:rsidRPr="008248EB">
        <w:rPr>
          <w:rFonts w:hint="eastAsia"/>
        </w:rPr>
        <w:t>）</w:t>
      </w:r>
    </w:p>
    <w:tbl>
      <w:tblPr>
        <w:tblW w:w="0" w:type="auto"/>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2390"/>
        <w:gridCol w:w="5976"/>
      </w:tblGrid>
      <w:tr w:rsidR="008248EB" w:rsidRPr="008248EB" w:rsidTr="008248EB">
        <w:tc>
          <w:tcPr>
            <w:tcW w:w="24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center"/>
              <w:rPr>
                <w:rFonts w:ascii="Arial" w:eastAsia="SimSun" w:hAnsi="Arial" w:cs="Arial"/>
                <w:color w:val="000000"/>
                <w:kern w:val="0"/>
                <w:sz w:val="24"/>
                <w:szCs w:val="24"/>
              </w:rPr>
            </w:pPr>
            <w:r w:rsidRPr="008248EB">
              <w:rPr>
                <w:rFonts w:ascii="Arial" w:eastAsia="SimSun" w:hAnsi="Arial" w:cs="Arial"/>
                <w:b/>
                <w:bCs/>
                <w:color w:val="000000"/>
                <w:kern w:val="0"/>
                <w:sz w:val="24"/>
                <w:szCs w:val="24"/>
              </w:rPr>
              <w:t>类别</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center"/>
              <w:rPr>
                <w:rFonts w:ascii="Arial" w:eastAsia="SimSun" w:hAnsi="Arial" w:cs="Arial"/>
                <w:color w:val="000000"/>
                <w:kern w:val="0"/>
                <w:sz w:val="24"/>
                <w:szCs w:val="24"/>
              </w:rPr>
            </w:pPr>
            <w:r w:rsidRPr="008248EB">
              <w:rPr>
                <w:rFonts w:ascii="Arial" w:eastAsia="SimSun" w:hAnsi="Arial" w:cs="Arial"/>
                <w:b/>
                <w:bCs/>
                <w:color w:val="000000"/>
                <w:kern w:val="0"/>
                <w:sz w:val="24"/>
                <w:szCs w:val="24"/>
              </w:rPr>
              <w:t>适用范围</w:t>
            </w:r>
          </w:p>
        </w:tc>
      </w:tr>
      <w:tr w:rsidR="008248EB" w:rsidRPr="008248EB" w:rsidTr="008248EB">
        <w:tc>
          <w:tcPr>
            <w:tcW w:w="24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企业业务流程设计服务</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为客户企业提供内部管理、业务运作等流程设计服务。</w:t>
            </w:r>
          </w:p>
        </w:tc>
      </w:tr>
      <w:tr w:rsidR="008248EB" w:rsidRPr="008248EB" w:rsidTr="008248EB">
        <w:tc>
          <w:tcPr>
            <w:tcW w:w="24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企业内部管理服务</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为客户企业提供后台管理、人力资源管理、财务、审计与税务管理、金融支付服务、医疗数据及其他内部管理业务的数据分析、数据挖掘、数据管理、数据使用的服务；承接客户专业数据处理、分析和整合服务。</w:t>
            </w:r>
          </w:p>
        </w:tc>
      </w:tr>
      <w:tr w:rsidR="008248EB" w:rsidRPr="008248EB" w:rsidTr="008248EB">
        <w:tc>
          <w:tcPr>
            <w:tcW w:w="24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企业运营服务</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为客户企业提供技术研发服务、为企业经营、销售、产品售后服务提供的应用客户分析、数据库管理等服务。主要包括金融服务业务、政务与教育业务、制造业务和生命科学、零售和批发与运输业务、卫生保健业务、通讯与公共事业业务、呼叫中心、电子商务平台等。</w:t>
            </w:r>
          </w:p>
        </w:tc>
      </w:tr>
      <w:tr w:rsidR="008248EB" w:rsidRPr="008248EB" w:rsidTr="008248EB">
        <w:tc>
          <w:tcPr>
            <w:tcW w:w="24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企业供应链管理服务</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为客户企业提供采购、物流的整体方案设计及数据库服务。</w:t>
            </w:r>
          </w:p>
        </w:tc>
      </w:tr>
    </w:tbl>
    <w:p w:rsidR="008248EB" w:rsidRDefault="008248EB" w:rsidP="008248EB">
      <w:pPr>
        <w:ind w:firstLine="405"/>
      </w:pPr>
    </w:p>
    <w:p w:rsidR="008248EB" w:rsidRDefault="008248EB" w:rsidP="008248EB">
      <w:pPr>
        <w:ind w:firstLine="405"/>
      </w:pPr>
      <w:r w:rsidRPr="008248EB">
        <w:rPr>
          <w:rFonts w:hint="eastAsia"/>
        </w:rPr>
        <w:t>三、技术性知识流程外包服务（</w:t>
      </w:r>
      <w:r w:rsidRPr="008248EB">
        <w:rPr>
          <w:rFonts w:hint="eastAsia"/>
        </w:rPr>
        <w:t>KPO</w:t>
      </w:r>
      <w:r w:rsidRPr="008248EB">
        <w:rPr>
          <w:rFonts w:hint="eastAsia"/>
        </w:rPr>
        <w:t>）</w:t>
      </w:r>
    </w:p>
    <w:tbl>
      <w:tblPr>
        <w:tblW w:w="0" w:type="auto"/>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8366"/>
      </w:tblGrid>
      <w:tr w:rsidR="008248EB" w:rsidRPr="008248EB" w:rsidTr="008248EB">
        <w:tc>
          <w:tcPr>
            <w:tcW w:w="85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center"/>
              <w:rPr>
                <w:rFonts w:ascii="Arial" w:eastAsia="SimSun" w:hAnsi="Arial" w:cs="Arial"/>
                <w:color w:val="000000"/>
                <w:kern w:val="0"/>
                <w:sz w:val="24"/>
                <w:szCs w:val="24"/>
              </w:rPr>
            </w:pPr>
            <w:r w:rsidRPr="008248EB">
              <w:rPr>
                <w:rFonts w:ascii="Arial" w:eastAsia="SimSun" w:hAnsi="Arial" w:cs="Arial"/>
                <w:color w:val="000000"/>
                <w:kern w:val="0"/>
                <w:sz w:val="24"/>
                <w:szCs w:val="24"/>
              </w:rPr>
              <w:t xml:space="preserve">　　</w:t>
            </w:r>
            <w:r w:rsidRPr="008248EB">
              <w:rPr>
                <w:rFonts w:ascii="Arial" w:eastAsia="SimSun" w:hAnsi="Arial" w:cs="Arial"/>
                <w:b/>
                <w:bCs/>
                <w:color w:val="000000"/>
                <w:kern w:val="0"/>
                <w:sz w:val="24"/>
                <w:szCs w:val="24"/>
              </w:rPr>
              <w:t>适用范围</w:t>
            </w:r>
          </w:p>
        </w:tc>
      </w:tr>
      <w:tr w:rsidR="008248EB" w:rsidRPr="008248EB" w:rsidTr="008248EB">
        <w:tc>
          <w:tcPr>
            <w:tcW w:w="85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248EB" w:rsidRPr="008248EB" w:rsidRDefault="008248EB" w:rsidP="008248EB">
            <w:pPr>
              <w:widowControl/>
              <w:spacing w:before="100" w:beforeAutospacing="1" w:after="240"/>
              <w:jc w:val="left"/>
              <w:rPr>
                <w:rFonts w:ascii="Arial" w:eastAsia="SimSun" w:hAnsi="Arial" w:cs="Arial"/>
                <w:color w:val="000000"/>
                <w:kern w:val="0"/>
                <w:sz w:val="24"/>
                <w:szCs w:val="24"/>
              </w:rPr>
            </w:pPr>
            <w:r w:rsidRPr="008248EB">
              <w:rPr>
                <w:rFonts w:ascii="Arial" w:eastAsia="SimSun" w:hAnsi="Arial" w:cs="Arial"/>
                <w:color w:val="000000"/>
                <w:kern w:val="0"/>
                <w:sz w:val="24"/>
                <w:szCs w:val="24"/>
              </w:rPr>
              <w:t xml:space="preserve">　　知识产权研究、医药和生物技术研发和测试、产品技术研发、工业设计、分析学和数据挖掘、动漫及网游设计研发、教育课件研发、工程设计等领域。</w:t>
            </w:r>
          </w:p>
        </w:tc>
      </w:tr>
    </w:tbl>
    <w:p w:rsidR="008248EB" w:rsidRPr="008248EB" w:rsidRDefault="008248EB" w:rsidP="008248EB">
      <w:pPr>
        <w:ind w:firstLine="405"/>
      </w:pPr>
    </w:p>
    <w:sectPr w:rsidR="008248EB" w:rsidRPr="008248EB" w:rsidSect="007A7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8EB"/>
    <w:rsid w:val="001D67C0"/>
    <w:rsid w:val="002A3662"/>
    <w:rsid w:val="007A7C85"/>
    <w:rsid w:val="008248EB"/>
    <w:rsid w:val="00B23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C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8EB"/>
    <w:pPr>
      <w:ind w:firstLineChars="200" w:firstLine="420"/>
    </w:pPr>
  </w:style>
  <w:style w:type="paragraph" w:styleId="a4">
    <w:name w:val="Normal (Web)"/>
    <w:basedOn w:val="a"/>
    <w:uiPriority w:val="99"/>
    <w:unhideWhenUsed/>
    <w:rsid w:val="008248EB"/>
    <w:pPr>
      <w:widowControl/>
      <w:spacing w:before="100" w:beforeAutospacing="1" w:after="100" w:afterAutospacing="1"/>
      <w:jc w:val="left"/>
    </w:pPr>
    <w:rPr>
      <w:rFonts w:ascii="SimSun" w:eastAsia="SimSun" w:hAnsi="SimSun" w:cs="SimSun"/>
      <w:kern w:val="0"/>
      <w:sz w:val="24"/>
      <w:szCs w:val="24"/>
    </w:rPr>
  </w:style>
  <w:style w:type="character" w:styleId="a5">
    <w:name w:val="Strong"/>
    <w:basedOn w:val="a0"/>
    <w:uiPriority w:val="22"/>
    <w:qFormat/>
    <w:rsid w:val="008248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C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8EB"/>
    <w:pPr>
      <w:ind w:firstLineChars="200" w:firstLine="420"/>
    </w:pPr>
  </w:style>
  <w:style w:type="paragraph" w:styleId="a4">
    <w:name w:val="Normal (Web)"/>
    <w:basedOn w:val="a"/>
    <w:uiPriority w:val="99"/>
    <w:unhideWhenUsed/>
    <w:rsid w:val="008248EB"/>
    <w:pPr>
      <w:widowControl/>
      <w:spacing w:before="100" w:beforeAutospacing="1" w:after="100" w:afterAutospacing="1"/>
      <w:jc w:val="left"/>
    </w:pPr>
    <w:rPr>
      <w:rFonts w:ascii="SimSun" w:eastAsia="SimSun" w:hAnsi="SimSun" w:cs="SimSun"/>
      <w:kern w:val="0"/>
      <w:sz w:val="24"/>
      <w:szCs w:val="24"/>
    </w:rPr>
  </w:style>
  <w:style w:type="character" w:styleId="a5">
    <w:name w:val="Strong"/>
    <w:basedOn w:val="a0"/>
    <w:uiPriority w:val="22"/>
    <w:qFormat/>
    <w:rsid w:val="008248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98163">
      <w:bodyDiv w:val="1"/>
      <w:marLeft w:val="0"/>
      <w:marRight w:val="0"/>
      <w:marTop w:val="0"/>
      <w:marBottom w:val="0"/>
      <w:divBdr>
        <w:top w:val="none" w:sz="0" w:space="0" w:color="auto"/>
        <w:left w:val="none" w:sz="0" w:space="0" w:color="auto"/>
        <w:bottom w:val="none" w:sz="0" w:space="0" w:color="auto"/>
        <w:right w:val="none" w:sz="0" w:space="0" w:color="auto"/>
      </w:divBdr>
    </w:div>
    <w:div w:id="488594195">
      <w:bodyDiv w:val="1"/>
      <w:marLeft w:val="0"/>
      <w:marRight w:val="0"/>
      <w:marTop w:val="0"/>
      <w:marBottom w:val="0"/>
      <w:divBdr>
        <w:top w:val="none" w:sz="0" w:space="0" w:color="auto"/>
        <w:left w:val="none" w:sz="0" w:space="0" w:color="auto"/>
        <w:bottom w:val="none" w:sz="0" w:space="0" w:color="auto"/>
        <w:right w:val="none" w:sz="0" w:space="0" w:color="auto"/>
      </w:divBdr>
    </w:div>
    <w:div w:id="1525172559">
      <w:bodyDiv w:val="1"/>
      <w:marLeft w:val="0"/>
      <w:marRight w:val="0"/>
      <w:marTop w:val="0"/>
      <w:marBottom w:val="0"/>
      <w:divBdr>
        <w:top w:val="none" w:sz="0" w:space="0" w:color="auto"/>
        <w:left w:val="none" w:sz="0" w:space="0" w:color="auto"/>
        <w:bottom w:val="none" w:sz="0" w:space="0" w:color="auto"/>
        <w:right w:val="none" w:sz="0" w:space="0" w:color="auto"/>
      </w:divBdr>
    </w:div>
    <w:div w:id="1535462522">
      <w:bodyDiv w:val="1"/>
      <w:marLeft w:val="0"/>
      <w:marRight w:val="0"/>
      <w:marTop w:val="0"/>
      <w:marBottom w:val="0"/>
      <w:divBdr>
        <w:top w:val="none" w:sz="0" w:space="0" w:color="auto"/>
        <w:left w:val="none" w:sz="0" w:space="0" w:color="auto"/>
        <w:bottom w:val="none" w:sz="0" w:space="0" w:color="auto"/>
        <w:right w:val="none" w:sz="0" w:space="0" w:color="auto"/>
      </w:divBdr>
    </w:div>
    <w:div w:id="1681007648">
      <w:bodyDiv w:val="1"/>
      <w:marLeft w:val="0"/>
      <w:marRight w:val="0"/>
      <w:marTop w:val="0"/>
      <w:marBottom w:val="0"/>
      <w:divBdr>
        <w:top w:val="none" w:sz="0" w:space="0" w:color="auto"/>
        <w:left w:val="none" w:sz="0" w:space="0" w:color="auto"/>
        <w:bottom w:val="none" w:sz="0" w:space="0" w:color="auto"/>
        <w:right w:val="none" w:sz="0" w:space="0" w:color="auto"/>
      </w:divBdr>
      <w:divsChild>
        <w:div w:id="1156845041">
          <w:marLeft w:val="0"/>
          <w:marRight w:val="0"/>
          <w:marTop w:val="0"/>
          <w:marBottom w:val="0"/>
          <w:divBdr>
            <w:top w:val="none" w:sz="0" w:space="0" w:color="auto"/>
            <w:left w:val="none" w:sz="0" w:space="0" w:color="auto"/>
            <w:bottom w:val="none" w:sz="0" w:space="0" w:color="auto"/>
            <w:right w:val="none" w:sz="0" w:space="0" w:color="auto"/>
          </w:divBdr>
          <w:divsChild>
            <w:div w:id="16752629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236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kimyz</dc:creator>
  <cp:lastModifiedBy>lingjue</cp:lastModifiedBy>
  <cp:revision>2</cp:revision>
  <dcterms:created xsi:type="dcterms:W3CDTF">2017-11-20T03:23:00Z</dcterms:created>
  <dcterms:modified xsi:type="dcterms:W3CDTF">2017-11-20T03:23:00Z</dcterms:modified>
</cp:coreProperties>
</file>