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EA1DF0" w:rsidRPr="00EA1DF0" w:rsidRDefault="00EA1DF0" w:rsidP="00EA1DF0">
            <w:pPr>
              <w:wordWrap w:val="0"/>
              <w:topLinePunct/>
              <w:adjustRightInd w:val="0"/>
              <w:snapToGrid w:val="0"/>
              <w:spacing w:line="360" w:lineRule="auto"/>
              <w:jc w:val="center"/>
              <w:rPr>
                <w:rFonts w:ascii="Gulim" w:eastAsia="Gulim" w:hAnsi="Gulim"/>
                <w:b/>
                <w:bCs/>
                <w:sz w:val="26"/>
                <w:szCs w:val="40"/>
                <w:lang w:eastAsia="ko-KR"/>
              </w:rPr>
            </w:pPr>
            <w:r w:rsidRPr="00EA1DF0">
              <w:rPr>
                <w:rFonts w:ascii="Gulim" w:eastAsia="Gulim" w:hAnsi="Gulim" w:cs="Batang" w:hint="eastAsia"/>
                <w:b/>
                <w:bCs/>
                <w:sz w:val="26"/>
                <w:szCs w:val="40"/>
                <w:lang w:eastAsia="ko-KR"/>
              </w:rPr>
              <w:t>최고인민법원</w:t>
            </w:r>
          </w:p>
          <w:p w:rsidR="00EA1DF0" w:rsidRPr="00EA1DF0" w:rsidRDefault="00EA1DF0" w:rsidP="00EA1DF0">
            <w:pPr>
              <w:wordWrap w:val="0"/>
              <w:topLinePunct/>
              <w:adjustRightInd w:val="0"/>
              <w:snapToGrid w:val="0"/>
              <w:spacing w:line="360" w:lineRule="auto"/>
              <w:jc w:val="center"/>
              <w:rPr>
                <w:rFonts w:ascii="Gulim" w:eastAsia="Gulim" w:hAnsi="Gulim" w:cs="Malgun Gothic" w:hint="eastAsia"/>
                <w:b/>
                <w:bCs/>
                <w:sz w:val="26"/>
                <w:szCs w:val="40"/>
                <w:lang w:eastAsia="ko-KR"/>
              </w:rPr>
            </w:pPr>
            <w:r w:rsidRPr="00EA1DF0">
              <w:rPr>
                <w:rFonts w:ascii="Gulim" w:eastAsia="Gulim" w:hAnsi="Gulim" w:cs="Malgun Gothic" w:hint="eastAsia"/>
                <w:b/>
                <w:bCs/>
                <w:sz w:val="26"/>
                <w:szCs w:val="40"/>
                <w:lang w:eastAsia="ko-KR"/>
              </w:rPr>
              <w:t xml:space="preserve">생태환경 손해배상 사건 심리에 관한 </w:t>
            </w:r>
          </w:p>
          <w:p w:rsidR="00EA1DF0" w:rsidRPr="00EA1DF0" w:rsidRDefault="00EA1DF0" w:rsidP="00EA1DF0">
            <w:pPr>
              <w:wordWrap w:val="0"/>
              <w:topLinePunct/>
              <w:adjustRightInd w:val="0"/>
              <w:snapToGrid w:val="0"/>
              <w:spacing w:line="360" w:lineRule="auto"/>
              <w:jc w:val="center"/>
              <w:rPr>
                <w:rFonts w:ascii="Gulim" w:eastAsia="Gulim" w:hAnsi="Gulim" w:cs="Batang" w:hint="eastAsia"/>
                <w:b/>
                <w:bCs/>
                <w:sz w:val="26"/>
                <w:szCs w:val="40"/>
                <w:lang w:eastAsia="ko-KR"/>
              </w:rPr>
            </w:pPr>
            <w:r w:rsidRPr="00EA1DF0">
              <w:rPr>
                <w:rFonts w:ascii="Gulim" w:eastAsia="Gulim" w:hAnsi="Gulim" w:cs="Malgun Gothic" w:hint="eastAsia"/>
                <w:b/>
                <w:bCs/>
                <w:sz w:val="26"/>
                <w:szCs w:val="40"/>
                <w:lang w:eastAsia="ko-KR"/>
              </w:rPr>
              <w:t>몇 가지 규정 (시범시행)</w:t>
            </w:r>
          </w:p>
          <w:p w:rsidR="00EA1DF0" w:rsidRDefault="00EA1DF0" w:rsidP="00EA1DF0">
            <w:pPr>
              <w:wordWrap w:val="0"/>
              <w:topLinePunct/>
              <w:adjustRightInd w:val="0"/>
              <w:snapToGrid w:val="0"/>
              <w:spacing w:line="360" w:lineRule="auto"/>
              <w:jc w:val="left"/>
              <w:rPr>
                <w:rFonts w:ascii="Gulim" w:eastAsia="Gulim" w:hAnsi="Gulim" w:hint="eastAsia"/>
                <w:szCs w:val="21"/>
                <w:lang w:eastAsia="ko-KR"/>
              </w:rPr>
            </w:pPr>
          </w:p>
          <w:p w:rsidR="00EA1DF0" w:rsidRDefault="00EA1DF0" w:rsidP="00EA1DF0">
            <w:pPr>
              <w:wordWrap w:val="0"/>
              <w:topLinePunct/>
              <w:adjustRightInd w:val="0"/>
              <w:snapToGrid w:val="0"/>
              <w:spacing w:line="360" w:lineRule="auto"/>
              <w:jc w:val="left"/>
              <w:rPr>
                <w:rFonts w:ascii="Gulim" w:eastAsia="Gulim" w:hAnsi="Gulim" w:hint="eastAsia"/>
                <w:szCs w:val="21"/>
                <w:lang w:eastAsia="ko-KR"/>
              </w:rPr>
            </w:pPr>
          </w:p>
          <w:p w:rsidR="00EA1DF0" w:rsidRDefault="00EA1DF0" w:rsidP="00EA1DF0">
            <w:pPr>
              <w:wordWrap w:val="0"/>
              <w:topLinePunct/>
              <w:adjustRightInd w:val="0"/>
              <w:snapToGrid w:val="0"/>
              <w:spacing w:line="360" w:lineRule="auto"/>
              <w:jc w:val="left"/>
              <w:rPr>
                <w:rFonts w:ascii="Gulim" w:eastAsia="Gulim" w:hAnsi="Gulim" w:hint="eastAsia"/>
                <w:szCs w:val="21"/>
                <w:lang w:eastAsia="ko-KR"/>
              </w:rPr>
            </w:pPr>
            <w:r>
              <w:rPr>
                <w:rFonts w:ascii="Gulim" w:eastAsia="Gulim" w:hAnsi="Gulim" w:hint="eastAsia"/>
                <w:szCs w:val="21"/>
                <w:lang w:eastAsia="ko-KR"/>
              </w:rPr>
              <w:t xml:space="preserve">(2019년 5월 20일 최고인민법원 심판위원회 제1769회의에서 통과, </w:t>
            </w:r>
            <w:r>
              <w:rPr>
                <w:rFonts w:ascii="Gulim" w:eastAsia="Gulim" w:hAnsi="Gulim" w:cs="Batang" w:hint="eastAsia"/>
                <w:color w:val="000000" w:themeColor="text1"/>
                <w:kern w:val="0"/>
                <w:szCs w:val="21"/>
                <w:lang w:eastAsia="ko-KR"/>
              </w:rPr>
              <w:t xml:space="preserve">2020년 12월 23일 최고인민법원 심판위원회 제1823차 회의 《&lt;민사심판 </w:t>
            </w:r>
            <w:proofErr w:type="spellStart"/>
            <w:r>
              <w:rPr>
                <w:rFonts w:ascii="Gulim" w:eastAsia="Gulim" w:hAnsi="Gulim" w:cs="Batang" w:hint="eastAsia"/>
                <w:color w:val="000000" w:themeColor="text1"/>
                <w:kern w:val="0"/>
                <w:szCs w:val="21"/>
                <w:lang w:eastAsia="ko-KR"/>
              </w:rPr>
              <w:t>업무중</w:t>
            </w:r>
            <w:proofErr w:type="spellEnd"/>
            <w:r>
              <w:rPr>
                <w:rFonts w:ascii="Gulim" w:eastAsia="Gulim" w:hAnsi="Gulim" w:cs="Batang" w:hint="eastAsia"/>
                <w:color w:val="000000" w:themeColor="text1"/>
                <w:kern w:val="0"/>
                <w:szCs w:val="21"/>
                <w:lang w:eastAsia="ko-KR"/>
              </w:rPr>
              <w:t xml:space="preserve"> &lt;</w:t>
            </w:r>
            <w:proofErr w:type="spellStart"/>
            <w:r>
              <w:rPr>
                <w:rFonts w:ascii="Gulim" w:eastAsia="Gulim" w:hAnsi="Gulim" w:cs="Batang" w:hint="eastAsia"/>
                <w:color w:val="000000" w:themeColor="text1"/>
                <w:kern w:val="0"/>
                <w:szCs w:val="21"/>
                <w:lang w:eastAsia="ko-KR"/>
              </w:rPr>
              <w:t>중화인민공확</w:t>
            </w:r>
            <w:proofErr w:type="spellEnd"/>
            <w:r>
              <w:rPr>
                <w:rFonts w:ascii="Gulim" w:eastAsia="Gulim" w:hAnsi="Gulim" w:cs="Batang" w:hint="eastAsia"/>
                <w:color w:val="000000" w:themeColor="text1"/>
                <w:kern w:val="0"/>
                <w:szCs w:val="21"/>
                <w:lang w:eastAsia="ko-KR"/>
              </w:rPr>
              <w:t xml:space="preserve"> </w:t>
            </w:r>
            <w:proofErr w:type="spellStart"/>
            <w:r>
              <w:rPr>
                <w:rFonts w:ascii="Gulim" w:eastAsia="Gulim" w:hAnsi="Gulim" w:cs="Batang" w:hint="eastAsia"/>
                <w:color w:val="000000" w:themeColor="text1"/>
                <w:kern w:val="0"/>
                <w:szCs w:val="21"/>
                <w:lang w:eastAsia="ko-KR"/>
              </w:rPr>
              <w:t>공회법</w:t>
            </w:r>
            <w:proofErr w:type="spellEnd"/>
            <w:r>
              <w:rPr>
                <w:rFonts w:ascii="Gulim" w:eastAsia="Gulim" w:hAnsi="Gulim" w:cs="Batang" w:hint="eastAsia"/>
                <w:color w:val="000000" w:themeColor="text1"/>
                <w:kern w:val="0"/>
                <w:szCs w:val="21"/>
                <w:lang w:eastAsia="ko-KR"/>
              </w:rPr>
              <w:t xml:space="preserve">&gt; 적용과 관련한 최고인민법원의 </w:t>
            </w:r>
            <w:proofErr w:type="spellStart"/>
            <w:r>
              <w:rPr>
                <w:rFonts w:ascii="Gulim" w:eastAsia="Gulim" w:hAnsi="Gulim" w:cs="Batang" w:hint="eastAsia"/>
                <w:color w:val="000000" w:themeColor="text1"/>
                <w:kern w:val="0"/>
                <w:szCs w:val="21"/>
                <w:lang w:eastAsia="ko-KR"/>
              </w:rPr>
              <w:t>몇가지</w:t>
            </w:r>
            <w:proofErr w:type="spellEnd"/>
            <w:r>
              <w:rPr>
                <w:rFonts w:ascii="Gulim" w:eastAsia="Gulim" w:hAnsi="Gulim" w:cs="Batang" w:hint="eastAsia"/>
                <w:color w:val="000000" w:themeColor="text1"/>
                <w:kern w:val="0"/>
                <w:szCs w:val="21"/>
                <w:lang w:eastAsia="ko-KR"/>
              </w:rPr>
              <w:t xml:space="preserve"> 해석&gt; 등 27건의 민사 종류 사법해석에 대한 결정》에 따라 제2차 개정, 2021년 1월 1일부터 시행</w:t>
            </w:r>
            <w:r>
              <w:rPr>
                <w:rFonts w:ascii="Gulim" w:eastAsia="Gulim" w:hAnsi="Gulim" w:cs="宋体" w:hint="eastAsia"/>
                <w:color w:val="000000" w:themeColor="text1"/>
                <w:kern w:val="0"/>
                <w:szCs w:val="21"/>
                <w:lang w:eastAsia="ko-KR"/>
              </w:rPr>
              <w:t>)</w:t>
            </w:r>
          </w:p>
          <w:p w:rsidR="00EA1DF0" w:rsidRDefault="00EA1DF0" w:rsidP="00EA1DF0">
            <w:pPr>
              <w:wordWrap w:val="0"/>
              <w:topLinePunct/>
              <w:adjustRightInd w:val="0"/>
              <w:snapToGrid w:val="0"/>
              <w:spacing w:line="360" w:lineRule="auto"/>
              <w:jc w:val="left"/>
              <w:rPr>
                <w:rFonts w:ascii="Gulim" w:eastAsia="Gulim" w:hAnsi="Gulim" w:hint="eastAsia"/>
                <w:szCs w:val="21"/>
                <w:lang w:eastAsia="ko-KR"/>
              </w:rPr>
            </w:pPr>
          </w:p>
          <w:p w:rsidR="00EA1DF0" w:rsidRDefault="00EA1DF0" w:rsidP="00EA1DF0">
            <w:pPr>
              <w:wordWrap w:val="0"/>
              <w:topLinePunct/>
              <w:adjustRightInd w:val="0"/>
              <w:snapToGrid w:val="0"/>
              <w:spacing w:line="360" w:lineRule="auto"/>
              <w:jc w:val="left"/>
              <w:rPr>
                <w:rFonts w:ascii="Gulim" w:eastAsia="Gulim" w:hAnsi="Gulim" w:hint="eastAsia"/>
                <w:szCs w:val="21"/>
                <w:lang w:eastAsia="ko-KR"/>
              </w:rPr>
            </w:pPr>
          </w:p>
          <w:p w:rsidR="00EA1DF0" w:rsidRPr="00EA1DF0" w:rsidRDefault="00EA1DF0" w:rsidP="00EA1DF0">
            <w:pPr>
              <w:wordWrap w:val="0"/>
              <w:topLinePunct/>
              <w:adjustRightInd w:val="0"/>
              <w:snapToGrid w:val="0"/>
              <w:spacing w:line="360" w:lineRule="auto"/>
              <w:jc w:val="left"/>
              <w:rPr>
                <w:rFonts w:ascii="Gulim" w:eastAsia="Gulim" w:hAnsi="Gulim" w:hint="eastAsia"/>
                <w:szCs w:val="21"/>
                <w:lang w:eastAsia="ko-KR"/>
              </w:rPr>
            </w:pP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cs="Batang" w:hint="eastAsia"/>
                <w:szCs w:val="21"/>
                <w:lang w:eastAsia="ko-KR"/>
              </w:rPr>
              <w:t xml:space="preserve">생태환경 손해배상 사건을 정확하게 심리하고, 생태환경을 엄격히 보호하며, 법에 의거 생태환경을 해치는 책임자에게 배상 책임을 추궁하기 위하여 &lt;중화인민공화국 </w:t>
            </w:r>
            <w:proofErr w:type="spellStart"/>
            <w:r>
              <w:rPr>
                <w:rFonts w:ascii="Gulim" w:eastAsia="Gulim" w:hAnsi="Gulim" w:cs="Batang" w:hint="eastAsia"/>
                <w:szCs w:val="21"/>
                <w:lang w:eastAsia="ko-KR"/>
              </w:rPr>
              <w:t>민법전</w:t>
            </w:r>
            <w:proofErr w:type="spellEnd"/>
            <w:r>
              <w:rPr>
                <w:rFonts w:ascii="Gulim" w:eastAsia="Gulim" w:hAnsi="Gulim" w:cs="Batang" w:hint="eastAsia"/>
                <w:szCs w:val="21"/>
                <w:lang w:eastAsia="ko-KR"/>
              </w:rPr>
              <w:t>&gt;, &lt;중화인민공화국 환경보호법&gt;, &lt;중화인민공화국 민사소송법&gt; 등 법률의 규정에 근거하여 심판 업무의 실제와 결부하여 본 규정을 제정하였다.</w:t>
            </w:r>
          </w:p>
          <w:p w:rsidR="00EA1DF0" w:rsidRDefault="00EA1DF0" w:rsidP="00EA1DF0">
            <w:pPr>
              <w:wordWrap w:val="0"/>
              <w:topLinePunct/>
              <w:adjustRightInd w:val="0"/>
              <w:snapToGrid w:val="0"/>
              <w:spacing w:line="360" w:lineRule="auto"/>
              <w:rPr>
                <w:rFonts w:ascii="Gulim" w:eastAsia="Gulim" w:hAnsi="Gulim" w:hint="eastAsia"/>
                <w:szCs w:val="21"/>
                <w:lang w:eastAsia="ko-KR"/>
              </w:rPr>
            </w:pP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제1조</w:t>
            </w:r>
            <w:r>
              <w:rPr>
                <w:rFonts w:ascii="Gulim" w:eastAsia="Gulim" w:hAnsi="Gulim" w:hint="eastAsia"/>
                <w:szCs w:val="21"/>
                <w:lang w:eastAsia="ko-KR"/>
              </w:rPr>
              <w:t xml:space="preserve"> 다음과 같은 상황 중 하나에 해당하는 경우, 성급, 시급 인민정부 및 그가 지정한 관련 부문, 기관, 혹은 국무원의 위탁을 받아 전민소유 자연자원 자산 소유권을 행사하는 부문이 생태환경을 해치는 자연인, 법인 혹은 기타 조직과의 협상을 거쳐 타협점을 찾지 못하거나 또는 협상을 진행할 수 없을 경우, 원고의 자격으로 생태환경 손해배상 소송을 제기할 </w:t>
            </w:r>
            <w:r>
              <w:rPr>
                <w:rFonts w:ascii="Gulim" w:eastAsia="Gulim" w:hAnsi="Gulim" w:hint="eastAsia"/>
                <w:szCs w:val="21"/>
                <w:lang w:eastAsia="ko-KR"/>
              </w:rPr>
              <w:lastRenderedPageBreak/>
              <w:t>수 있다.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(1) 비교적 크고 중대하며 특별히 중대한 돌발적인 환경사건이 발생한 경우</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(2) </w:t>
            </w:r>
            <w:r>
              <w:rPr>
                <w:rFonts w:ascii="Gulim" w:eastAsia="Gulim" w:hAnsi="Gulim" w:cs="Batang" w:hint="eastAsia"/>
                <w:szCs w:val="21"/>
                <w:lang w:eastAsia="ko-KR"/>
              </w:rPr>
              <w:t>국가와 성급 주체 기능성 구역 기획 중에서 확정된 중점 생태 기능성구역과 개발 금지 구역에서 환경오염 및 생태파괴 사건이 발생한 경우</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(3) </w:t>
            </w:r>
            <w:r>
              <w:rPr>
                <w:rFonts w:ascii="Gulim" w:eastAsia="Gulim" w:hAnsi="Gulim" w:cs="Batang" w:hint="eastAsia"/>
                <w:szCs w:val="21"/>
                <w:lang w:eastAsia="ko-KR"/>
              </w:rPr>
              <w:t>기타 생태환경에 엄중한 영향을 끼쳐 이에 따른 결과가 발생한 경우</w:t>
            </w: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cs="Batang" w:hint="eastAsia"/>
                <w:szCs w:val="21"/>
                <w:lang w:eastAsia="ko-KR"/>
              </w:rPr>
              <w:t xml:space="preserve">상기 조항에서 규정한 시급 인민정부는 구를 설치한 시, 자치주, 맹, 지구, 구를 설치하지 않은 </w:t>
            </w:r>
            <w:proofErr w:type="spellStart"/>
            <w:r>
              <w:rPr>
                <w:rFonts w:ascii="Gulim" w:eastAsia="Gulim" w:hAnsi="Gulim" w:cs="Batang" w:hint="eastAsia"/>
                <w:szCs w:val="21"/>
                <w:lang w:eastAsia="ko-KR"/>
              </w:rPr>
              <w:t>지급시</w:t>
            </w:r>
            <w:proofErr w:type="spellEnd"/>
            <w:r>
              <w:rPr>
                <w:rFonts w:ascii="Gulim" w:eastAsia="Gulim" w:hAnsi="Gulim" w:cs="Batang" w:hint="eastAsia"/>
                <w:szCs w:val="21"/>
                <w:lang w:eastAsia="ko-KR"/>
              </w:rPr>
              <w:t>, 직할시의 구, 현 인민정부를 포함한다.</w:t>
            </w:r>
          </w:p>
          <w:p w:rsidR="00EA1DF0" w:rsidRDefault="00EA1DF0" w:rsidP="00EA1DF0">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cs="Batang" w:hint="eastAsia"/>
                <w:b/>
                <w:bCs/>
                <w:szCs w:val="21"/>
                <w:lang w:eastAsia="ko-KR"/>
              </w:rPr>
              <w:t xml:space="preserve">제2조 </w:t>
            </w:r>
            <w:r>
              <w:rPr>
                <w:rFonts w:ascii="Gulim" w:eastAsia="Gulim" w:hAnsi="Gulim" w:cs="Batang" w:hint="eastAsia"/>
                <w:szCs w:val="21"/>
                <w:lang w:eastAsia="ko-KR"/>
              </w:rPr>
              <w:t>아래와 같은 상황일 경우에는 본 규정을 적용하지 않는다.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(1) 환경을 오염시키고, 생태계를 파괴하여 사람들에게 인신 손해 및 개인과 단체의 재산 손실을 초래하여 배상을 요구하는 경우 </w:t>
            </w: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hint="eastAsia"/>
                <w:szCs w:val="21"/>
                <w:lang w:eastAsia="ko-KR"/>
              </w:rPr>
              <w:t xml:space="preserve">(2) </w:t>
            </w:r>
            <w:r>
              <w:rPr>
                <w:rFonts w:ascii="Gulim" w:eastAsia="Gulim" w:hAnsi="Gulim" w:cs="Batang" w:hint="eastAsia"/>
                <w:szCs w:val="21"/>
                <w:lang w:eastAsia="ko-KR"/>
              </w:rPr>
              <w:t>해양생태환경에 손해를 입혀 배상을 요구하는 경우</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제3조</w:t>
            </w:r>
            <w:r>
              <w:rPr>
                <w:rFonts w:ascii="Gulim" w:eastAsia="Gulim" w:hAnsi="Gulim" w:hint="eastAsia"/>
                <w:szCs w:val="21"/>
                <w:lang w:eastAsia="ko-KR"/>
              </w:rPr>
              <w:t xml:space="preserve"> </w:t>
            </w:r>
            <w:r>
              <w:rPr>
                <w:rFonts w:ascii="Gulim" w:eastAsia="Gulim" w:hAnsi="Gulim" w:cs="Batang" w:hint="eastAsia"/>
                <w:szCs w:val="21"/>
                <w:lang w:eastAsia="ko-KR"/>
              </w:rPr>
              <w:t>생태환경 손해배상 소송사건의 제1심은 생태환경을 해친 행위의 실시지점, 손해 결과의 발생지 또는 피고 주소지의 중급 이상 인민법원에서 관할한다.</w:t>
            </w: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cs="Batang" w:hint="eastAsia"/>
                <w:szCs w:val="21"/>
                <w:lang w:eastAsia="ko-KR"/>
              </w:rPr>
              <w:t>최고인민법원의 비준을 거쳐, 고급인민법원은 관할구역 내 일부 중급인민법원이 생태환경 손해배상 소송사건의 제1심을 집중적으로 관할하도록 확정할 수 있다.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cs="Batang" w:hint="eastAsia"/>
                <w:szCs w:val="21"/>
                <w:lang w:eastAsia="ko-KR"/>
              </w:rPr>
              <w:t xml:space="preserve">중급인민법원이 필요하다고 판단하는 경우, 고급인민법원에 요청하여 비준을 받은 후 본원이 관할하는 생태환경 손해배상 소송사건의 제1심을 심리조건을 갖춘 기층인민법원에 맡겨 </w:t>
            </w:r>
            <w:r>
              <w:rPr>
                <w:rFonts w:ascii="Gulim" w:eastAsia="Gulim" w:hAnsi="Gulim" w:cs="Batang" w:hint="eastAsia"/>
                <w:szCs w:val="21"/>
                <w:lang w:eastAsia="ko-KR"/>
              </w:rPr>
              <w:lastRenderedPageBreak/>
              <w:t>심리하도록 재정할 수 있다.</w:t>
            </w: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cs="Batang" w:hint="eastAsia"/>
                <w:szCs w:val="21"/>
                <w:lang w:eastAsia="ko-KR"/>
              </w:rPr>
              <w:t>생태환경 손해배상 소송사건은 인민법원 환경자원 재판정 혹은 지정한 전문 법정에서 심리한다.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제4조</w:t>
            </w:r>
            <w:r>
              <w:rPr>
                <w:rFonts w:ascii="Gulim" w:eastAsia="Gulim" w:hAnsi="Gulim" w:hint="eastAsia"/>
                <w:szCs w:val="21"/>
                <w:lang w:eastAsia="ko-KR"/>
              </w:rPr>
              <w:t xml:space="preserve"> </w:t>
            </w:r>
            <w:r>
              <w:rPr>
                <w:rFonts w:ascii="Gulim" w:eastAsia="Gulim" w:hAnsi="Gulim" w:cs="Batang" w:hint="eastAsia"/>
                <w:szCs w:val="21"/>
                <w:lang w:eastAsia="ko-KR"/>
              </w:rPr>
              <w:t xml:space="preserve">인민법원에서 생태환경 손해배상 소송사건의 제1심을 심리할 경우 판사와 시민배심원으로 구성된 </w:t>
            </w:r>
            <w:proofErr w:type="spellStart"/>
            <w:r>
              <w:rPr>
                <w:rFonts w:ascii="Gulim" w:eastAsia="Gulim" w:hAnsi="Gulim" w:cs="Batang" w:hint="eastAsia"/>
                <w:szCs w:val="21"/>
                <w:lang w:eastAsia="ko-KR"/>
              </w:rPr>
              <w:t>합의정에서</w:t>
            </w:r>
            <w:proofErr w:type="spellEnd"/>
            <w:r>
              <w:rPr>
                <w:rFonts w:ascii="Gulim" w:eastAsia="Gulim" w:hAnsi="Gulim" w:cs="Batang" w:hint="eastAsia"/>
                <w:szCs w:val="21"/>
                <w:lang w:eastAsia="ko-KR"/>
              </w:rPr>
              <w:t xml:space="preserve"> 진행하여야 한다.</w:t>
            </w:r>
          </w:p>
          <w:p w:rsidR="00EA1DF0" w:rsidRDefault="00EA1DF0" w:rsidP="00EA1DF0">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hint="eastAsia"/>
                <w:b/>
                <w:bCs/>
                <w:szCs w:val="21"/>
                <w:lang w:eastAsia="ko-KR"/>
              </w:rPr>
              <w:t>제5조</w:t>
            </w:r>
            <w:r>
              <w:rPr>
                <w:rFonts w:ascii="Gulim" w:eastAsia="Gulim" w:hAnsi="Gulim" w:hint="eastAsia"/>
                <w:szCs w:val="21"/>
                <w:lang w:eastAsia="ko-KR"/>
              </w:rPr>
              <w:t xml:space="preserve"> </w:t>
            </w:r>
            <w:r>
              <w:rPr>
                <w:rFonts w:ascii="Gulim" w:eastAsia="Gulim" w:hAnsi="Gulim" w:cs="Batang" w:hint="eastAsia"/>
                <w:szCs w:val="21"/>
                <w:lang w:eastAsia="ko-KR"/>
              </w:rPr>
              <w:t>원고가 생태환경 손해배상 소송을 제기할 때 민사소송법과 본 규정에 부합되고 동시에 다음과 같은 서류를 제출한 경우, 인민법원은 입안을 등기하여야 한다.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(1) 생태환경 손해배상 소송을 제기할 원고 자격을 구비했음을 증명하는 서류</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(2) </w:t>
            </w:r>
            <w:r>
              <w:rPr>
                <w:rFonts w:ascii="Gulim" w:eastAsia="Gulim" w:hAnsi="Gulim" w:cs="Batang" w:hint="eastAsia"/>
                <w:szCs w:val="21"/>
                <w:lang w:eastAsia="ko-KR"/>
              </w:rPr>
              <w:t>본 규정 제1조에 규정한 상황 중 하나에 부합됨을 증명하는 서류</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(3) </w:t>
            </w:r>
            <w:r>
              <w:rPr>
                <w:rFonts w:ascii="Gulim" w:eastAsia="Gulim" w:hAnsi="Gulim" w:cs="Batang" w:hint="eastAsia"/>
                <w:szCs w:val="21"/>
                <w:lang w:eastAsia="ko-KR"/>
              </w:rPr>
              <w:t>피고와 협상을 진행한 결과 타협점을 찾지 못하였거나 혹은 객관적인 이유로 피고와 협상을 진행할 수 없다는 설명</w:t>
            </w: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hint="eastAsia"/>
                <w:szCs w:val="21"/>
                <w:lang w:eastAsia="ko-KR"/>
              </w:rPr>
              <w:t xml:space="preserve">(4) </w:t>
            </w:r>
            <w:r>
              <w:rPr>
                <w:rFonts w:ascii="Gulim" w:eastAsia="Gulim" w:hAnsi="Gulim" w:cs="Batang" w:hint="eastAsia"/>
                <w:szCs w:val="21"/>
                <w:lang w:eastAsia="ko-KR"/>
              </w:rPr>
              <w:t>법률 규정에 부합되는 기소장, 피고인 수에 따른 부본 제출</w:t>
            </w:r>
          </w:p>
          <w:p w:rsidR="00EA1DF0" w:rsidRDefault="00EA1DF0" w:rsidP="00EA1DF0">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hint="eastAsia"/>
                <w:b/>
                <w:bCs/>
                <w:szCs w:val="21"/>
                <w:lang w:eastAsia="ko-KR"/>
              </w:rPr>
              <w:t>제6조</w:t>
            </w:r>
            <w:r>
              <w:rPr>
                <w:rFonts w:ascii="Gulim" w:eastAsia="Gulim" w:hAnsi="Gulim" w:hint="eastAsia"/>
                <w:szCs w:val="21"/>
                <w:lang w:eastAsia="ko-KR"/>
              </w:rPr>
              <w:t xml:space="preserve"> </w:t>
            </w:r>
            <w:r>
              <w:rPr>
                <w:rFonts w:ascii="Gulim" w:eastAsia="Gulim" w:hAnsi="Gulim" w:cs="Batang" w:hint="eastAsia"/>
                <w:szCs w:val="21"/>
                <w:lang w:eastAsia="ko-KR"/>
              </w:rPr>
              <w:t>원고가 피고가 생태환경 손해배상 책임을 져야 한다고 주장할 경우, 이하의 사실에 관한 거증 책임을 져야 한다.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(1) 피고가 환경을 오염시키고, 생태를 파괴하는 행위를 하였거나 또는 기타 법에 의거 책임을 져야 하는 상황</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(2) </w:t>
            </w:r>
            <w:r>
              <w:rPr>
                <w:rFonts w:ascii="Gulim" w:eastAsia="Gulim" w:hAnsi="Gulim" w:cs="Batang" w:hint="eastAsia"/>
                <w:szCs w:val="21"/>
                <w:lang w:eastAsia="ko-KR"/>
              </w:rPr>
              <w:t>생태환경이 피해를 입고 또한 이에 필요한 복구비용 및 손해배상 등 구체적인 금액</w:t>
            </w: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hint="eastAsia"/>
                <w:szCs w:val="21"/>
                <w:lang w:eastAsia="ko-KR"/>
              </w:rPr>
              <w:t xml:space="preserve">(3) </w:t>
            </w:r>
            <w:r>
              <w:rPr>
                <w:rFonts w:ascii="Gulim" w:eastAsia="Gulim" w:hAnsi="Gulim" w:cs="Batang" w:hint="eastAsia"/>
                <w:szCs w:val="21"/>
                <w:lang w:eastAsia="ko-KR"/>
              </w:rPr>
              <w:t>피고가 환경을 오염시키고 생태를 파괴한 행위와 생태환경 손해 사이의 연관성이 있는 경우</w:t>
            </w:r>
          </w:p>
          <w:p w:rsidR="00EA1DF0" w:rsidRDefault="00EA1DF0" w:rsidP="00EA1DF0">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hint="eastAsia"/>
                <w:b/>
                <w:bCs/>
                <w:szCs w:val="21"/>
                <w:lang w:eastAsia="ko-KR"/>
              </w:rPr>
              <w:t>제7조</w:t>
            </w:r>
            <w:r>
              <w:rPr>
                <w:rFonts w:ascii="Gulim" w:eastAsia="Gulim" w:hAnsi="Gulim" w:hint="eastAsia"/>
                <w:szCs w:val="21"/>
                <w:lang w:eastAsia="ko-KR"/>
              </w:rPr>
              <w:t xml:space="preserve"> 피고가 원고의 주장을 반박할 경우에</w:t>
            </w:r>
            <w:r>
              <w:rPr>
                <w:rFonts w:ascii="Gulim" w:eastAsia="Gulim" w:hAnsi="Gulim" w:hint="eastAsia"/>
                <w:szCs w:val="21"/>
                <w:lang w:eastAsia="ko-KR"/>
              </w:rPr>
              <w:lastRenderedPageBreak/>
              <w:t>는 증거를 제출하여 증명하여야 한다. 피고가 법률에 규정된 책임을 지지 않거나 혹은 책임이 경감될 사유에 해당한다고 주장할 경우, 그에 따른 거증책임을 져야 한다.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제8조</w:t>
            </w:r>
            <w:r>
              <w:rPr>
                <w:rFonts w:ascii="Gulim" w:eastAsia="Gulim" w:hAnsi="Gulim" w:hint="eastAsia"/>
                <w:szCs w:val="21"/>
                <w:lang w:eastAsia="ko-KR"/>
              </w:rPr>
              <w:t xml:space="preserve"> </w:t>
            </w:r>
            <w:r>
              <w:rPr>
                <w:rFonts w:ascii="Gulim" w:eastAsia="Gulim" w:hAnsi="Gulim" w:cs="Batang" w:hint="eastAsia"/>
                <w:szCs w:val="21"/>
                <w:lang w:eastAsia="ko-KR"/>
              </w:rPr>
              <w:t>이미 법적 효력이 발생한 형사재판으로 확인된 사실은 당사자가 생태환경 손해배상소송사건 중 거증 증명을 할 필요가 없으나 상반된 증거로 인해 번복할 수 있는 경우는 제외한다.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형사재판에서 확인되지 않은 사실에 대해서 당사자가 제출한 증거가 민사소송 증명 기준에 부합하는 경우 인민법원은 이를 인정하여야 한다.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제9조</w:t>
            </w:r>
            <w:r>
              <w:rPr>
                <w:rFonts w:ascii="Gulim" w:eastAsia="Gulim" w:hAnsi="Gulim" w:hint="eastAsia"/>
                <w:szCs w:val="21"/>
                <w:lang w:eastAsia="ko-KR"/>
              </w:rPr>
              <w:t xml:space="preserve"> </w:t>
            </w:r>
            <w:r>
              <w:rPr>
                <w:rFonts w:ascii="Gulim" w:eastAsia="Gulim" w:hAnsi="Gulim" w:cs="Batang" w:hint="eastAsia"/>
                <w:szCs w:val="21"/>
                <w:lang w:eastAsia="ko-KR"/>
              </w:rPr>
              <w:t xml:space="preserve">환경자원보호 감독관리 관련 직책을 이행하는 부문 혹은 그 부문이 위탁한 기관이 행정 </w:t>
            </w:r>
            <w:proofErr w:type="spellStart"/>
            <w:r>
              <w:rPr>
                <w:rFonts w:ascii="Gulim" w:eastAsia="Gulim" w:hAnsi="Gulim" w:cs="Batang" w:hint="eastAsia"/>
                <w:szCs w:val="21"/>
                <w:lang w:eastAsia="ko-KR"/>
              </w:rPr>
              <w:t>집법</w:t>
            </w:r>
            <w:proofErr w:type="spellEnd"/>
            <w:r>
              <w:rPr>
                <w:rFonts w:ascii="Gulim" w:eastAsia="Gulim" w:hAnsi="Gulim" w:cs="Batang" w:hint="eastAsia"/>
                <w:szCs w:val="21"/>
                <w:lang w:eastAsia="ko-KR"/>
              </w:rPr>
              <w:t xml:space="preserve"> 과정에서 작성한 사건 조사보고, 검사보고, 검증보고, 평가보고, 모니터링 데이터 등은 당사자의 대질을 거쳐 증거 기준에 부합될 경우, 사건 사실을 인정하는 근거로써 사용할 수 있다.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제10조</w:t>
            </w:r>
            <w:r>
              <w:rPr>
                <w:rFonts w:ascii="Gulim" w:eastAsia="Gulim" w:hAnsi="Gulim" w:hint="eastAsia"/>
                <w:szCs w:val="21"/>
                <w:lang w:eastAsia="ko-KR"/>
              </w:rPr>
              <w:t xml:space="preserve"> </w:t>
            </w:r>
            <w:r>
              <w:rPr>
                <w:rFonts w:ascii="Gulim" w:eastAsia="Gulim" w:hAnsi="Gulim" w:cs="Batang" w:hint="eastAsia"/>
                <w:szCs w:val="21"/>
                <w:lang w:eastAsia="ko-KR"/>
              </w:rPr>
              <w:t xml:space="preserve">당사자가 소송 전 위탁한 환경 사법감정 자질을 갖춘 감정기관이 제출한 감정의견 및 국무원 환경자원 보호 감독 관리 관련 부서가 추천한 기관이 제출한 검사보고, </w:t>
            </w:r>
            <w:proofErr w:type="spellStart"/>
            <w:r>
              <w:rPr>
                <w:rFonts w:ascii="Gulim" w:eastAsia="Gulim" w:hAnsi="Gulim" w:cs="Batang" w:hint="eastAsia"/>
                <w:szCs w:val="21"/>
                <w:lang w:eastAsia="ko-KR"/>
              </w:rPr>
              <w:t>검측보고</w:t>
            </w:r>
            <w:proofErr w:type="spellEnd"/>
            <w:r>
              <w:rPr>
                <w:rFonts w:ascii="Gulim" w:eastAsia="Gulim" w:hAnsi="Gulim" w:cs="Batang" w:hint="eastAsia"/>
                <w:szCs w:val="21"/>
                <w:lang w:eastAsia="ko-KR"/>
              </w:rPr>
              <w:t>, 평가보고, 모니터링 데이터 등은 당사자의 대질을 거치고 또한 증거 표준에 부합되면 사건 사실을 인정하는 근거로 할 수 있다.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제11조</w:t>
            </w:r>
            <w:r>
              <w:rPr>
                <w:rFonts w:ascii="Gulim" w:eastAsia="Gulim" w:hAnsi="Gulim" w:hint="eastAsia"/>
                <w:szCs w:val="21"/>
                <w:lang w:eastAsia="ko-KR"/>
              </w:rPr>
              <w:t xml:space="preserve"> </w:t>
            </w:r>
            <w:r>
              <w:rPr>
                <w:rFonts w:ascii="Gulim" w:eastAsia="Gulim" w:hAnsi="Gulim" w:cs="Batang" w:hint="eastAsia"/>
                <w:szCs w:val="21"/>
                <w:lang w:eastAsia="ko-KR"/>
              </w:rPr>
              <w:t>피고가 법률, 법규를 위반하여 생태환경 손해를 초래한 경우에는 인민법원은 원고의 소송 청구 및 구체적인 사건 경위에 근거하여 피고가 생태환경의 원상복구, 손해배상, 침해중단, 방해배제, 위험제거, 사죄 등 민사책임</w:t>
            </w:r>
            <w:r>
              <w:rPr>
                <w:rFonts w:ascii="Gulim" w:eastAsia="Gulim" w:hAnsi="Gulim" w:cs="Batang" w:hint="eastAsia"/>
                <w:szCs w:val="21"/>
                <w:lang w:eastAsia="ko-KR"/>
              </w:rPr>
              <w:lastRenderedPageBreak/>
              <w:t>을 지도록 합리적인 판결을 내려야 한다.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제12조</w:t>
            </w:r>
            <w:r>
              <w:rPr>
                <w:rFonts w:ascii="Gulim" w:eastAsia="Gulim" w:hAnsi="Gulim" w:hint="eastAsia"/>
                <w:szCs w:val="21"/>
                <w:lang w:eastAsia="ko-KR"/>
              </w:rPr>
              <w:t xml:space="preserve"> </w:t>
            </w:r>
            <w:r>
              <w:rPr>
                <w:rFonts w:ascii="Gulim" w:eastAsia="Gulim" w:hAnsi="Gulim" w:cs="Batang" w:hint="eastAsia"/>
                <w:szCs w:val="21"/>
                <w:lang w:eastAsia="ko-KR"/>
              </w:rPr>
              <w:t>손해를 입은 생태환경이 원상복구가 가능한 경우, 인민법원은 법에 의거 피고가 원상복구 책임을 지도록 판결함과 동시에 피고가 원상복구 의무를 이행하지 않을 시 생태환경 원상복구 비용을 부담하도록 확정하여야 한다.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생태환경 원상복구 비용에는 원상복구 방안의 제정과 실시 비용, 원상복구 기간의 모니터링과 감독관리 비용 및 원상복구 후 검수비용과 원상복구 효과 후 평가비용 등이 포함된다.</w:t>
            </w: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cs="Batang" w:hint="eastAsia"/>
                <w:szCs w:val="21"/>
                <w:lang w:eastAsia="ko-KR"/>
              </w:rPr>
              <w:t>원고가 피고에게 생태환경이 피해를 입어 원상복구가 완료되는 기간 동안의 기능 손실을 배상하도록 청구하는 경우, 인민법원은 구체적인 사건 경위에 근거하여 판결을 내린다.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 xml:space="preserve">제13조 </w:t>
            </w:r>
            <w:r>
              <w:rPr>
                <w:rFonts w:ascii="Gulim" w:eastAsia="Gulim" w:hAnsi="Gulim" w:cs="Batang" w:hint="eastAsia"/>
                <w:szCs w:val="21"/>
                <w:lang w:eastAsia="ko-KR"/>
              </w:rPr>
              <w:t>피해를 입은 생태환경이 원상복구를 할 수 없거나 혹은 완전한 복구가 어려워 원고가 피고에게 생태환경 기능 영구적 손해를 끼친 손실을 배상하도록 청구하는 경우, 인민법원은 구체적인 사건 경위에 근거하여 판결을 내린다.</w:t>
            </w:r>
          </w:p>
          <w:p w:rsidR="00EA1DF0" w:rsidRDefault="00EA1DF0" w:rsidP="00EA1DF0">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hint="eastAsia"/>
                <w:b/>
                <w:bCs/>
                <w:szCs w:val="21"/>
                <w:lang w:eastAsia="ko-KR"/>
              </w:rPr>
              <w:t xml:space="preserve">제14조 </w:t>
            </w:r>
            <w:r>
              <w:rPr>
                <w:rFonts w:ascii="Gulim" w:eastAsia="Gulim" w:hAnsi="Gulim" w:cs="Batang" w:hint="eastAsia"/>
                <w:szCs w:val="21"/>
                <w:lang w:eastAsia="ko-KR"/>
              </w:rPr>
              <w:t>원고가 피고에게 다음과 같은 비용을 부담하도록 청구하는 경우, 인민법원은 구체적인 사건 경위에 근거하여 판결을 내린다.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(1) 응급방안 실시, 오염제거, 그리고 손해의 발생과 확대를 방지하기 위해 지출한 합리적인 비용</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(2) </w:t>
            </w:r>
            <w:r>
              <w:rPr>
                <w:rFonts w:ascii="Gulim" w:eastAsia="Gulim" w:hAnsi="Gulim" w:cs="Batang" w:hint="eastAsia"/>
                <w:szCs w:val="21"/>
                <w:lang w:eastAsia="ko-KR"/>
              </w:rPr>
              <w:t>생태환경 손해배상 협상과 소송을 위해 지출한 조사, 검사, 감정, 평가 등 비용</w:t>
            </w: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hint="eastAsia"/>
                <w:szCs w:val="21"/>
                <w:lang w:eastAsia="ko-KR"/>
              </w:rPr>
              <w:t xml:space="preserve">(3) </w:t>
            </w:r>
            <w:r>
              <w:rPr>
                <w:rFonts w:ascii="Gulim" w:eastAsia="Gulim" w:hAnsi="Gulim" w:cs="Batang" w:hint="eastAsia"/>
                <w:szCs w:val="21"/>
                <w:lang w:eastAsia="ko-KR"/>
              </w:rPr>
              <w:t>합리적인 변호사 비용 및 기타 소송을 위해 지출한 합리적 비용</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제15조</w:t>
            </w:r>
            <w:r>
              <w:rPr>
                <w:rFonts w:ascii="Gulim" w:eastAsia="Gulim" w:hAnsi="Gulim" w:hint="eastAsia"/>
                <w:szCs w:val="21"/>
                <w:lang w:eastAsia="ko-KR"/>
              </w:rPr>
              <w:t xml:space="preserve"> </w:t>
            </w:r>
            <w:r>
              <w:rPr>
                <w:rFonts w:ascii="Gulim" w:eastAsia="Gulim" w:hAnsi="Gulim" w:cs="Batang" w:hint="eastAsia"/>
                <w:szCs w:val="21"/>
                <w:lang w:eastAsia="ko-KR"/>
              </w:rPr>
              <w:t xml:space="preserve">인민법원이 판결한 피고가 부담하는 생태환경 서비스 기능 손실 배상금, 생태환경 </w:t>
            </w:r>
            <w:r>
              <w:rPr>
                <w:rFonts w:ascii="Gulim" w:eastAsia="Gulim" w:hAnsi="Gulim" w:cs="Batang" w:hint="eastAsia"/>
                <w:szCs w:val="21"/>
                <w:lang w:eastAsia="ko-KR"/>
              </w:rPr>
              <w:lastRenderedPageBreak/>
              <w:t xml:space="preserve">기능에 영구적 손해를 끼친 손해 배상금 및 피고가 생태환경 원상복구 의무를 이행하지 않아 시 부담해야 하는 원상복구비용은 법률, 법규, 규장에 따라 납부, 관리 및 사용하여야 한다. </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제16조</w:t>
            </w:r>
            <w:r>
              <w:rPr>
                <w:rFonts w:ascii="Gulim" w:eastAsia="Gulim" w:hAnsi="Gulim" w:hint="eastAsia"/>
                <w:szCs w:val="21"/>
                <w:lang w:eastAsia="ko-KR"/>
              </w:rPr>
              <w:t xml:space="preserve"> </w:t>
            </w:r>
            <w:r>
              <w:rPr>
                <w:rFonts w:ascii="Gulim" w:eastAsia="Gulim" w:hAnsi="Gulim" w:cs="Batang" w:hint="eastAsia"/>
                <w:szCs w:val="21"/>
                <w:lang w:eastAsia="ko-KR"/>
              </w:rPr>
              <w:t>생태환경 손해배상 소송사건 심리과정에서 생태환경에 피해를 입힌 동일한 행위로 또 다른 민사 공익 소송 제기를 당하고, 기소 조건에 부합되는 경우 생태환경 손해배상 소송사건을 수리한 인민법원이 이를 수리하고 동일한 재판조직에서 심리한다.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제17조</w:t>
            </w:r>
            <w:r>
              <w:rPr>
                <w:rFonts w:ascii="Gulim" w:eastAsia="Gulim" w:hAnsi="Gulim" w:hint="eastAsia"/>
                <w:szCs w:val="21"/>
                <w:lang w:eastAsia="ko-KR"/>
              </w:rPr>
              <w:t xml:space="preserve"> </w:t>
            </w:r>
            <w:r>
              <w:rPr>
                <w:rFonts w:ascii="Gulim" w:eastAsia="Gulim" w:hAnsi="Gulim" w:cs="Batang" w:hint="eastAsia"/>
                <w:szCs w:val="21"/>
                <w:lang w:eastAsia="ko-KR"/>
              </w:rPr>
              <w:t>인민법원이 동일한 생태환경에 피해를 입힌 행위로 제기된 생태환경 손해배상 소송사건과 민사 공익 소송사건을 수리한 경우, 민사 공익 소송사건의 심리를 먼저 중지하고 생태환경 손해배상 소송사건 심리가 완료될 때까지 기다린 후, 민사 공익 소송사건에 포괄되지 않은 소송 청구에 관해 법에 의거 판결을 내린다.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hint="eastAsia"/>
                <w:b/>
                <w:bCs/>
                <w:szCs w:val="21"/>
                <w:lang w:eastAsia="ko-KR"/>
              </w:rPr>
              <w:t>제18조</w:t>
            </w:r>
            <w:r>
              <w:rPr>
                <w:rFonts w:ascii="Gulim" w:eastAsia="Gulim" w:hAnsi="Gulim" w:hint="eastAsia"/>
                <w:szCs w:val="21"/>
                <w:lang w:eastAsia="ko-KR"/>
              </w:rPr>
              <w:t xml:space="preserve"> </w:t>
            </w:r>
            <w:r>
              <w:rPr>
                <w:rFonts w:ascii="Gulim" w:eastAsia="Gulim" w:hAnsi="Gulim" w:cs="Batang" w:hint="eastAsia"/>
                <w:szCs w:val="21"/>
                <w:lang w:eastAsia="ko-KR"/>
              </w:rPr>
              <w:t>생태환경 손해배상 소송사건의 재판이 효력을 발생한 후, 민사 공익소송을 제기할 권리를 가진, 국가에서 규정한 기관 혹은 법률에서 규정한 조직이 동일한 생태환경에 피해를 입힌 행위에 관해 앞선 사건 심리 시에는 발견하지 못한 손해가 존재함을 증명할 증거를 가지고, 민사 공익 소송을 제기하는 경우 인민법원은 이를 수리하여야 한다.</w:t>
            </w:r>
          </w:p>
          <w:p w:rsidR="00EA1DF0" w:rsidRDefault="00EA1DF0" w:rsidP="00EA1DF0">
            <w:pPr>
              <w:wordWrap w:val="0"/>
              <w:topLinePunct/>
              <w:adjustRightInd w:val="0"/>
              <w:snapToGrid w:val="0"/>
              <w:spacing w:line="360" w:lineRule="auto"/>
              <w:ind w:firstLineChars="100" w:firstLine="210"/>
              <w:rPr>
                <w:rFonts w:ascii="Gulim" w:eastAsia="Gulim" w:hAnsi="Gulim" w:cs="Batang" w:hint="eastAsia"/>
                <w:szCs w:val="21"/>
                <w:lang w:eastAsia="ko-KR"/>
              </w:rPr>
            </w:pPr>
            <w:r>
              <w:rPr>
                <w:rFonts w:ascii="Gulim" w:eastAsia="Gulim" w:hAnsi="Gulim" w:cs="Batang" w:hint="eastAsia"/>
                <w:szCs w:val="21"/>
                <w:lang w:eastAsia="ko-KR"/>
              </w:rPr>
              <w:t>민사 공익 소송사건의 재판이 효력을 발생한 후, 생태환경 손해배상 소송을 제기할 권리를 가진 주체가 동일한 생태환경에 피해를 입힌 행위에 관해 앞선 사건 심리 시에는 발견하지 못한 손해가 존재함을 증명할 증거를 가지고, 생태환경 손해배상 소송을 제기하는 경우 인민</w:t>
            </w:r>
            <w:r>
              <w:rPr>
                <w:rFonts w:ascii="Gulim" w:eastAsia="Gulim" w:hAnsi="Gulim" w:cs="Batang" w:hint="eastAsia"/>
                <w:szCs w:val="21"/>
                <w:lang w:eastAsia="ko-KR"/>
              </w:rPr>
              <w:lastRenderedPageBreak/>
              <w:t>법원은 이를 수리하여야 한다.</w:t>
            </w:r>
          </w:p>
          <w:p w:rsidR="00EA1DF0" w:rsidRDefault="00EA1DF0" w:rsidP="00EA1DF0">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hint="eastAsia"/>
                <w:b/>
                <w:bCs/>
                <w:szCs w:val="21"/>
                <w:lang w:eastAsia="ko-KR"/>
              </w:rPr>
              <w:t xml:space="preserve">제19조 </w:t>
            </w:r>
            <w:r>
              <w:rPr>
                <w:rFonts w:ascii="Gulim" w:eastAsia="Gulim" w:hAnsi="Gulim" w:cs="Batang" w:hint="eastAsia"/>
                <w:szCs w:val="21"/>
                <w:lang w:eastAsia="ko-KR"/>
              </w:rPr>
              <w:t>실제 응급처리 비용을 지출한 기관이 해당 비용 청구 소송을 제기하는 경우, 인민법원은 이를 수리하여야 한다. 단, 인민법원이 동일한 생태환경에 피해를 입힌 행위로 제기한 생태환경 손해배상 소송사건을 이미 수리하였고, 또한 해당 사건 원고가 이미 응급처리 비용을 주장한 경우는 제외한다.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cs="Batang" w:hint="eastAsia"/>
                <w:szCs w:val="21"/>
                <w:lang w:eastAsia="ko-KR"/>
              </w:rPr>
              <w:t>생태환경 손해배상 소송사건의 원고가 응급처리 비용을 주장하지 않은 경우, 동일한 생태환경에 피해를 입힌 행위로 인해 실제 응급처리 비용을 지출한 기관이 해당 비용 청구 소송을 제기하는 경우 생태환경 손해배상 소송사건을 수리한 인민법원이 이를 수리하고 동일한 재판조직에서 심리한다.</w:t>
            </w:r>
          </w:p>
          <w:p w:rsidR="00EA1DF0" w:rsidRDefault="00EA1DF0" w:rsidP="00EA1DF0">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hint="eastAsia"/>
                <w:b/>
                <w:bCs/>
                <w:szCs w:val="21"/>
                <w:lang w:eastAsia="ko-KR"/>
              </w:rPr>
              <w:t>제20조</w:t>
            </w:r>
            <w:r>
              <w:rPr>
                <w:rFonts w:ascii="Gulim" w:eastAsia="Gulim" w:hAnsi="Gulim" w:hint="eastAsia"/>
                <w:szCs w:val="21"/>
                <w:lang w:eastAsia="ko-KR"/>
              </w:rPr>
              <w:t xml:space="preserve"> </w:t>
            </w:r>
            <w:r>
              <w:rPr>
                <w:rFonts w:ascii="Gulim" w:eastAsia="Gulim" w:hAnsi="Gulim" w:cs="Batang" w:hint="eastAsia"/>
                <w:szCs w:val="21"/>
                <w:lang w:eastAsia="ko-KR"/>
              </w:rPr>
              <w:t>협상 결과 생태환경 손해배상 협의를 달성할 경우, 당사자는 인민법원에 사법 확인을 신청할 수 있다.</w:t>
            </w:r>
          </w:p>
          <w:p w:rsidR="00EA1DF0" w:rsidRDefault="00EA1DF0" w:rsidP="00EA1DF0">
            <w:pPr>
              <w:wordWrap w:val="0"/>
              <w:topLinePunct/>
              <w:adjustRightInd w:val="0"/>
              <w:snapToGrid w:val="0"/>
              <w:spacing w:line="360" w:lineRule="auto"/>
              <w:ind w:firstLineChars="100" w:firstLine="210"/>
              <w:rPr>
                <w:rFonts w:ascii="Gulim" w:eastAsia="Gulim" w:hAnsi="Gulim" w:hint="eastAsia"/>
                <w:szCs w:val="21"/>
                <w:lang w:eastAsia="ko-KR"/>
              </w:rPr>
            </w:pPr>
            <w:r>
              <w:rPr>
                <w:rFonts w:ascii="Gulim" w:eastAsia="Gulim" w:hAnsi="Gulim" w:hint="eastAsia"/>
                <w:szCs w:val="21"/>
                <w:lang w:eastAsia="ko-KR"/>
              </w:rPr>
              <w:t xml:space="preserve">인민법원은 신청을 수리한 후, 협의 내용을 공고하고 공고기간은 30일 이상이어야 한다. 공고기간 만료 후 인민법원은 심사를 거쳐 협의된 내용이 법률, 법규의 강제성 규정에 위반되지 아니하고 국가 이익, 사회공공 이익을 해치지 않는다고 판단하는 경우 협의의 유효성을 재정하고 확인한다. </w:t>
            </w:r>
            <w:proofErr w:type="spellStart"/>
            <w:r>
              <w:rPr>
                <w:rFonts w:ascii="Gulim" w:eastAsia="Gulim" w:hAnsi="Gulim" w:hint="eastAsia"/>
                <w:szCs w:val="21"/>
                <w:lang w:eastAsia="ko-KR"/>
              </w:rPr>
              <w:t>재정서에는</w:t>
            </w:r>
            <w:proofErr w:type="spellEnd"/>
            <w:r>
              <w:rPr>
                <w:rFonts w:ascii="Gulim" w:eastAsia="Gulim" w:hAnsi="Gulim" w:hint="eastAsia"/>
                <w:szCs w:val="21"/>
                <w:lang w:eastAsia="ko-KR"/>
              </w:rPr>
              <w:t xml:space="preserve"> 사건의 기본 사실과 협의 내용이 명시되어야 하며 또한 사회에 공개한다.</w:t>
            </w:r>
          </w:p>
          <w:p w:rsidR="00EA1DF0" w:rsidRDefault="00EA1DF0" w:rsidP="00EA1DF0">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hint="eastAsia"/>
                <w:b/>
                <w:bCs/>
                <w:szCs w:val="21"/>
                <w:lang w:eastAsia="ko-KR"/>
              </w:rPr>
              <w:t>제21조</w:t>
            </w:r>
            <w:r>
              <w:rPr>
                <w:rFonts w:ascii="Gulim" w:eastAsia="Gulim" w:hAnsi="Gulim" w:hint="eastAsia"/>
                <w:szCs w:val="21"/>
                <w:lang w:eastAsia="ko-KR"/>
              </w:rPr>
              <w:t xml:space="preserve"> 일방 당사자가 기한 내에 법적 효력이 발생한 생태환경 손해배상 소송사건의 재판 혹은 사법 확인을 거친 생태환경 손해배상 협의를 이행하지 않거나 일부만 이행한 경우, 상대방은 인민법원에 강제집행을 신청할 수 있</w:t>
            </w:r>
            <w:r>
              <w:rPr>
                <w:rFonts w:ascii="Gulim" w:eastAsia="Gulim" w:hAnsi="Gulim" w:hint="eastAsia"/>
                <w:szCs w:val="21"/>
                <w:lang w:eastAsia="ko-KR"/>
              </w:rPr>
              <w:lastRenderedPageBreak/>
              <w:t>다. 생태환경의 원상복구가 필요한 경우에는 법에 의거 성급, 시(지)급 인민정부 및 정부가 지정한 관련 부문, 기관이 조직하여 실시한다.</w:t>
            </w:r>
          </w:p>
          <w:p w:rsidR="00EA1DF0" w:rsidRDefault="00EA1DF0" w:rsidP="00EA1DF0">
            <w:pPr>
              <w:wordWrap w:val="0"/>
              <w:topLinePunct/>
              <w:adjustRightInd w:val="0"/>
              <w:snapToGrid w:val="0"/>
              <w:spacing w:line="360" w:lineRule="auto"/>
              <w:ind w:firstLineChars="100" w:firstLine="206"/>
              <w:rPr>
                <w:rFonts w:ascii="Gulim" w:eastAsia="Gulim" w:hAnsi="Gulim" w:cs="Batang" w:hint="eastAsia"/>
                <w:szCs w:val="21"/>
                <w:lang w:eastAsia="ko-KR"/>
              </w:rPr>
            </w:pPr>
            <w:r>
              <w:rPr>
                <w:rFonts w:ascii="Gulim" w:eastAsia="Gulim" w:hAnsi="Gulim" w:cs="Batang" w:hint="eastAsia"/>
                <w:b/>
                <w:bCs/>
                <w:szCs w:val="21"/>
                <w:lang w:eastAsia="ko-KR"/>
              </w:rPr>
              <w:t>제22조</w:t>
            </w:r>
            <w:r>
              <w:rPr>
                <w:rFonts w:ascii="Gulim" w:eastAsia="Gulim" w:hAnsi="Gulim" w:cs="Batang" w:hint="eastAsia"/>
                <w:szCs w:val="21"/>
                <w:lang w:eastAsia="ko-KR"/>
              </w:rPr>
              <w:t xml:space="preserve"> 인민법원이 생태환경 손해배상 사건을 심리할 때 본 규정에서 규정되지 않는 부분은 &lt;최고인민법원의 환경 민사 공익 소송사건 심리에 적용하는 법률의 몇 가지 문제에 관한 해석&gt;, &lt;최고인민법원의 환경 </w:t>
            </w:r>
            <w:proofErr w:type="spellStart"/>
            <w:r>
              <w:rPr>
                <w:rFonts w:ascii="Gulim" w:eastAsia="Gulim" w:hAnsi="Gulim" w:cs="Batang" w:hint="eastAsia"/>
                <w:szCs w:val="21"/>
                <w:lang w:eastAsia="ko-KR"/>
              </w:rPr>
              <w:t>침권</w:t>
            </w:r>
            <w:proofErr w:type="spellEnd"/>
            <w:r>
              <w:rPr>
                <w:rFonts w:ascii="Gulim" w:eastAsia="Gulim" w:hAnsi="Gulim" w:cs="Batang" w:hint="eastAsia"/>
                <w:szCs w:val="21"/>
                <w:lang w:eastAsia="ko-KR"/>
              </w:rPr>
              <w:t xml:space="preserve"> 책임 분쟁사건 심리에 적용하는 법률의 몇 가지 문제에 관한 해석&gt; 등 관련 사법해석의 규정을 참조하여 적용한다.</w:t>
            </w:r>
          </w:p>
          <w:p w:rsidR="00EA1DF0" w:rsidRDefault="00EA1DF0" w:rsidP="00EA1DF0">
            <w:pPr>
              <w:wordWrap w:val="0"/>
              <w:topLinePunct/>
              <w:adjustRightInd w:val="0"/>
              <w:snapToGrid w:val="0"/>
              <w:spacing w:line="360" w:lineRule="auto"/>
              <w:ind w:firstLineChars="100" w:firstLine="206"/>
              <w:rPr>
                <w:rFonts w:ascii="Gulim" w:eastAsia="Gulim" w:hAnsi="Gulim" w:hint="eastAsia"/>
                <w:szCs w:val="21"/>
                <w:lang w:eastAsia="ko-KR"/>
              </w:rPr>
            </w:pPr>
            <w:r>
              <w:rPr>
                <w:rFonts w:ascii="Gulim" w:eastAsia="Gulim" w:hAnsi="Gulim" w:hint="eastAsia"/>
                <w:b/>
                <w:bCs/>
                <w:szCs w:val="21"/>
                <w:lang w:eastAsia="ko-KR"/>
              </w:rPr>
              <w:t>제23조</w:t>
            </w:r>
            <w:r>
              <w:rPr>
                <w:rFonts w:ascii="Gulim" w:eastAsia="Gulim" w:hAnsi="Gulim" w:cs="Batang" w:hint="eastAsia"/>
                <w:szCs w:val="21"/>
                <w:lang w:eastAsia="ko-KR"/>
              </w:rPr>
              <w:t xml:space="preserve"> 본 규정은 2019년 6월 5일부터 시행한다.</w:t>
            </w:r>
          </w:p>
          <w:p w:rsidR="00FE1FE8" w:rsidRPr="00EA1DF0"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FE1FE8" w:rsidRPr="00DA0B6D" w:rsidRDefault="00FE1FE8" w:rsidP="00FE1FE8">
            <w:pPr>
              <w:widowControl/>
              <w:wordWrap w:val="0"/>
              <w:topLinePunct/>
              <w:adjustRightInd w:val="0"/>
              <w:snapToGrid w:val="0"/>
              <w:spacing w:line="360" w:lineRule="auto"/>
              <w:rPr>
                <w:rFonts w:ascii="Gulim" w:eastAsia="Gulim" w:hAnsi="Gulim" w:cs="宋体"/>
                <w:color w:val="000000" w:themeColor="text1"/>
                <w:kern w:val="0"/>
                <w:szCs w:val="21"/>
                <w:lang w:eastAsia="ko-KR"/>
              </w:rPr>
            </w:pPr>
          </w:p>
          <w:p w:rsidR="00DB5008" w:rsidRPr="00FE1FE8" w:rsidRDefault="00DB5008" w:rsidP="00FE1FE8">
            <w:pPr>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EA1DF0" w:rsidRPr="00EA1DF0" w:rsidRDefault="00EA1DF0" w:rsidP="00EA1DF0">
            <w:pPr>
              <w:topLinePunct/>
              <w:snapToGrid w:val="0"/>
              <w:spacing w:line="360" w:lineRule="auto"/>
              <w:jc w:val="center"/>
              <w:rPr>
                <w:rFonts w:ascii="宋体" w:eastAsia="宋体" w:hAnsi="宋体"/>
                <w:b/>
                <w:bCs/>
                <w:sz w:val="30"/>
                <w:szCs w:val="40"/>
              </w:rPr>
            </w:pPr>
            <w:r w:rsidRPr="00EA1DF0">
              <w:rPr>
                <w:rFonts w:ascii="宋体" w:eastAsia="宋体" w:hAnsi="宋体" w:hint="eastAsia"/>
                <w:b/>
                <w:bCs/>
                <w:sz w:val="30"/>
                <w:szCs w:val="40"/>
              </w:rPr>
              <w:t>最高人民法院</w:t>
            </w:r>
          </w:p>
          <w:p w:rsidR="00EA1DF0" w:rsidRPr="00EA1DF0" w:rsidRDefault="00EA1DF0" w:rsidP="00EA1DF0">
            <w:pPr>
              <w:topLinePunct/>
              <w:snapToGrid w:val="0"/>
              <w:spacing w:line="360" w:lineRule="auto"/>
              <w:jc w:val="center"/>
              <w:rPr>
                <w:rFonts w:ascii="宋体" w:eastAsia="宋体" w:hAnsi="宋体" w:hint="eastAsia"/>
                <w:b/>
                <w:bCs/>
                <w:sz w:val="30"/>
                <w:szCs w:val="40"/>
              </w:rPr>
            </w:pPr>
            <w:r w:rsidRPr="00EA1DF0">
              <w:rPr>
                <w:rFonts w:ascii="宋体" w:eastAsia="宋体" w:hAnsi="宋体" w:hint="eastAsia"/>
                <w:b/>
                <w:bCs/>
                <w:sz w:val="30"/>
                <w:szCs w:val="40"/>
              </w:rPr>
              <w:t>关于审理生态环境损害赔偿案件的若干规定（试行）</w:t>
            </w:r>
          </w:p>
          <w:p w:rsidR="00EA1DF0" w:rsidRDefault="00EA1DF0" w:rsidP="00EA1DF0">
            <w:pPr>
              <w:wordWrap w:val="0"/>
              <w:topLinePunct/>
              <w:snapToGrid w:val="0"/>
              <w:spacing w:line="360" w:lineRule="auto"/>
              <w:rPr>
                <w:rFonts w:ascii="宋体" w:eastAsia="宋体" w:hAnsi="宋体" w:hint="eastAsia"/>
                <w:szCs w:val="21"/>
              </w:rPr>
            </w:pPr>
          </w:p>
          <w:p w:rsidR="00EA1DF0" w:rsidRDefault="00EA1DF0" w:rsidP="00EA1DF0">
            <w:pPr>
              <w:wordWrap w:val="0"/>
              <w:topLinePunct/>
              <w:snapToGrid w:val="0"/>
              <w:spacing w:line="360" w:lineRule="auto"/>
              <w:ind w:firstLine="420"/>
              <w:rPr>
                <w:rFonts w:ascii="宋体" w:eastAsia="宋体" w:hAnsi="宋体" w:hint="eastAsia"/>
                <w:szCs w:val="21"/>
              </w:rPr>
            </w:pPr>
            <w:r>
              <w:rPr>
                <w:rFonts w:ascii="宋体" w:eastAsia="宋体" w:hAnsi="宋体" w:hint="eastAsia"/>
                <w:szCs w:val="21"/>
              </w:rPr>
              <w:t>（2019年5月20日由最高人民法院审判委员会第1769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2021年1月1日起施行）</w:t>
            </w:r>
          </w:p>
          <w:p w:rsidR="00EA1DF0" w:rsidRDefault="00EA1DF0" w:rsidP="00EA1DF0">
            <w:pPr>
              <w:wordWrap w:val="0"/>
              <w:topLinePunct/>
              <w:snapToGrid w:val="0"/>
              <w:spacing w:line="360" w:lineRule="auto"/>
              <w:ind w:firstLine="420"/>
              <w:rPr>
                <w:rFonts w:ascii="宋体" w:eastAsia="宋体" w:hAnsi="宋体" w:hint="eastAsia"/>
                <w:szCs w:val="21"/>
              </w:rPr>
            </w:pPr>
          </w:p>
          <w:p w:rsidR="00EA1DF0" w:rsidRDefault="00EA1DF0" w:rsidP="00EA1DF0">
            <w:pPr>
              <w:wordWrap w:val="0"/>
              <w:topLinePunct/>
              <w:snapToGrid w:val="0"/>
              <w:spacing w:line="360" w:lineRule="auto"/>
              <w:ind w:firstLine="420"/>
              <w:rPr>
                <w:rFonts w:ascii="宋体" w:eastAsia="宋体" w:hAnsi="宋体" w:hint="eastAsia"/>
                <w:szCs w:val="21"/>
              </w:rPr>
            </w:pPr>
          </w:p>
          <w:p w:rsidR="00EA1DF0" w:rsidRDefault="00EA1DF0" w:rsidP="00EA1DF0">
            <w:pPr>
              <w:wordWrap w:val="0"/>
              <w:topLinePunct/>
              <w:snapToGrid w:val="0"/>
              <w:spacing w:line="360" w:lineRule="auto"/>
              <w:ind w:firstLine="420"/>
              <w:rPr>
                <w:rFonts w:ascii="宋体" w:eastAsia="宋体" w:hAnsi="宋体" w:hint="eastAsia"/>
                <w:szCs w:val="21"/>
              </w:rPr>
            </w:pPr>
            <w:r>
              <w:rPr>
                <w:rFonts w:ascii="宋体" w:eastAsia="宋体" w:hAnsi="宋体" w:hint="eastAsia"/>
                <w:szCs w:val="21"/>
              </w:rPr>
              <w:t>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p>
          <w:p w:rsidR="00EA1DF0" w:rsidRDefault="00EA1DF0" w:rsidP="00EA1DF0">
            <w:pPr>
              <w:wordWrap w:val="0"/>
              <w:topLinePunct/>
              <w:snapToGrid w:val="0"/>
              <w:spacing w:line="360" w:lineRule="auto"/>
              <w:ind w:firstLine="420"/>
              <w:rPr>
                <w:rFonts w:ascii="宋体" w:eastAsia="宋体" w:hAnsi="宋体" w:hint="eastAsia"/>
                <w:szCs w:val="21"/>
              </w:rPr>
            </w:pPr>
          </w:p>
          <w:p w:rsidR="00EA1DF0" w:rsidRDefault="00EA1DF0" w:rsidP="00EA1DF0">
            <w:pPr>
              <w:wordWrap w:val="0"/>
              <w:topLinePunct/>
              <w:snapToGrid w:val="0"/>
              <w:spacing w:line="360" w:lineRule="auto"/>
              <w:rPr>
                <w:rFonts w:ascii="宋体" w:hAnsi="宋体" w:hint="eastAsia"/>
                <w:szCs w:val="21"/>
              </w:rPr>
            </w:pPr>
            <w:r>
              <w:rPr>
                <w:rFonts w:ascii="宋体" w:eastAsia="宋体" w:hAnsi="宋体" w:hint="eastAsia"/>
                <w:szCs w:val="21"/>
              </w:rPr>
              <w:t xml:space="preserve">　　</w:t>
            </w:r>
            <w:r>
              <w:rPr>
                <w:rFonts w:ascii="宋体" w:eastAsia="宋体" w:hAnsi="宋体" w:hint="eastAsia"/>
                <w:b/>
                <w:bCs/>
                <w:szCs w:val="21"/>
              </w:rPr>
              <w:t>第一条</w:t>
            </w:r>
            <w:r>
              <w:rPr>
                <w:rFonts w:ascii="宋体" w:eastAsia="宋体" w:hAnsi="宋体" w:hint="eastAsia"/>
                <w:szCs w:val="21"/>
              </w:rPr>
              <w:t xml:space="preserve"> 具有下列情形之一，省级、市地级人民政府及其指定的相关部门、机构，或者受国务院委托行使全民所有自然资源资产所有权的部门，因与造成生态环境损害的自然人、法人或者其他组织经磋商未达成一致或者无法进行磋商的，可以作为原告提起生态环境损害赔偿诉讼：</w:t>
            </w:r>
          </w:p>
          <w:p w:rsidR="00EA1DF0" w:rsidRPr="00EA1DF0" w:rsidRDefault="00EA1DF0" w:rsidP="00EA1DF0">
            <w:pPr>
              <w:wordWrap w:val="0"/>
              <w:topLinePunct/>
              <w:snapToGrid w:val="0"/>
              <w:spacing w:line="360" w:lineRule="auto"/>
              <w:rPr>
                <w:rFonts w:ascii="宋体" w:hAnsi="宋体" w:hint="eastAsia"/>
                <w:szCs w:val="21"/>
                <w:lang w:eastAsia="ko-KR"/>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（一）发生较大、重大、特别重大突发环境事件的；</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（二）在国家和省级主体功能区规划中划定的重点生态功能区、禁止开发区发生环境污染、生态破坏事件的；</w:t>
            </w:r>
          </w:p>
          <w:p w:rsidR="00EA1DF0" w:rsidRDefault="00EA1DF0" w:rsidP="00EA1DF0">
            <w:pPr>
              <w:wordWrap w:val="0"/>
              <w:topLinePunct/>
              <w:snapToGrid w:val="0"/>
              <w:spacing w:line="360" w:lineRule="auto"/>
              <w:ind w:firstLine="450"/>
              <w:rPr>
                <w:rFonts w:ascii="宋体" w:hAnsi="宋体" w:hint="eastAsia"/>
                <w:szCs w:val="21"/>
              </w:rPr>
            </w:pPr>
            <w:r>
              <w:rPr>
                <w:rFonts w:ascii="宋体" w:eastAsia="宋体" w:hAnsi="宋体" w:hint="eastAsia"/>
                <w:szCs w:val="21"/>
              </w:rPr>
              <w:t>（三）发生其他严重影响生态环境后果的。</w:t>
            </w:r>
          </w:p>
          <w:p w:rsidR="00EA1DF0" w:rsidRPr="00EA1DF0" w:rsidRDefault="00EA1DF0" w:rsidP="00EA1DF0">
            <w:pPr>
              <w:wordWrap w:val="0"/>
              <w:topLinePunct/>
              <w:snapToGrid w:val="0"/>
              <w:spacing w:line="360" w:lineRule="auto"/>
              <w:ind w:firstLine="450"/>
              <w:rPr>
                <w:rFonts w:ascii="宋体" w:hAnsi="宋体" w:hint="eastAsia"/>
                <w:szCs w:val="21"/>
              </w:rPr>
            </w:pPr>
          </w:p>
          <w:p w:rsidR="00EA1DF0" w:rsidRDefault="00EA1DF0" w:rsidP="00EA1DF0">
            <w:pPr>
              <w:wordWrap w:val="0"/>
              <w:topLinePunct/>
              <w:snapToGrid w:val="0"/>
              <w:spacing w:line="360" w:lineRule="auto"/>
              <w:ind w:firstLine="450"/>
              <w:rPr>
                <w:rFonts w:ascii="宋体" w:hAnsi="宋体" w:hint="eastAsia"/>
                <w:szCs w:val="21"/>
              </w:rPr>
            </w:pPr>
            <w:r>
              <w:rPr>
                <w:rFonts w:ascii="宋体" w:eastAsia="宋体" w:hAnsi="宋体" w:hint="eastAsia"/>
                <w:szCs w:val="21"/>
              </w:rPr>
              <w:t>前款规定的市地级人民政府包括设区的市，自治州、盟、地区，不设区的地级市，直辖市的区、县人民政府。</w:t>
            </w:r>
          </w:p>
          <w:p w:rsidR="00EA1DF0" w:rsidRPr="00EA1DF0" w:rsidRDefault="00EA1DF0" w:rsidP="00EA1DF0">
            <w:pPr>
              <w:wordWrap w:val="0"/>
              <w:topLinePunct/>
              <w:snapToGrid w:val="0"/>
              <w:spacing w:line="360" w:lineRule="auto"/>
              <w:ind w:firstLine="450"/>
              <w:rPr>
                <w:rFonts w:ascii="宋体" w:hAnsi="宋体" w:hint="eastAsia"/>
                <w:szCs w:val="21"/>
              </w:rPr>
            </w:pPr>
          </w:p>
          <w:p w:rsidR="00EA1DF0" w:rsidRDefault="00EA1DF0" w:rsidP="00EA1DF0">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第二条</w:t>
            </w:r>
            <w:r>
              <w:rPr>
                <w:rFonts w:ascii="宋体" w:eastAsia="宋体" w:hAnsi="宋体" w:hint="eastAsia"/>
                <w:szCs w:val="21"/>
              </w:rPr>
              <w:t xml:space="preserve"> 下列情形不适用本规定：</w:t>
            </w:r>
          </w:p>
          <w:p w:rsidR="00EA1DF0" w:rsidRPr="00EA1DF0" w:rsidRDefault="00EA1DF0" w:rsidP="00EA1DF0">
            <w:pPr>
              <w:wordWrap w:val="0"/>
              <w:topLinePunct/>
              <w:snapToGrid w:val="0"/>
              <w:spacing w:line="360" w:lineRule="auto"/>
              <w:ind w:firstLine="420"/>
              <w:rPr>
                <w:rFonts w:ascii="宋体" w:hAnsi="宋体" w:hint="eastAsia"/>
                <w:szCs w:val="21"/>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（一）因污染环境、破坏生态造成人身损害、个人和集体财产损失要求赔偿的；</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（二）因海洋生态环境损害要求赔偿的。</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第三条</w:t>
            </w:r>
            <w:r>
              <w:rPr>
                <w:rFonts w:ascii="宋体" w:eastAsia="宋体" w:hAnsi="宋体" w:hint="eastAsia"/>
                <w:szCs w:val="21"/>
              </w:rPr>
              <w:t xml:space="preserve"> 第一审生态环境损害赔偿诉讼案件由生态环境损害行为实施地、损害结果发生地或者被告住所地的中级以上人民法院管辖。</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经最高人民法院批准，高级人民法院可以在辖区内确定部分中级人民法院集中管辖第一审生态环境损害赔偿诉讼案件。</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中级人民法院认为确有必要的，可以在报请高级人民法院批准后，裁定将本院管辖的第一审生态环境损害赔偿诉讼案件交由具备审理条件的基层人民法</w:t>
            </w:r>
            <w:r>
              <w:rPr>
                <w:rFonts w:ascii="宋体" w:eastAsia="宋体" w:hAnsi="宋体" w:hint="eastAsia"/>
                <w:szCs w:val="21"/>
              </w:rPr>
              <w:lastRenderedPageBreak/>
              <w:t>院审理。</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生态环境损害赔偿诉讼案件由人民法院环境资源审判庭或者指定的专门法庭审理。</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第四条</w:t>
            </w:r>
            <w:r>
              <w:rPr>
                <w:rFonts w:ascii="宋体" w:eastAsia="宋体" w:hAnsi="宋体" w:hint="eastAsia"/>
                <w:szCs w:val="21"/>
              </w:rPr>
              <w:t xml:space="preserve"> 人民法院审理第一审生态环境损害赔偿诉讼案件，应当由法官和人民陪审员组成合议庭进行。</w:t>
            </w:r>
          </w:p>
          <w:p w:rsidR="00EA1DF0" w:rsidRDefault="00EA1DF0" w:rsidP="00EA1DF0">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第五条</w:t>
            </w:r>
            <w:r>
              <w:rPr>
                <w:rFonts w:ascii="宋体" w:eastAsia="宋体" w:hAnsi="宋体" w:hint="eastAsia"/>
                <w:szCs w:val="21"/>
              </w:rPr>
              <w:t xml:space="preserve"> 原告提起生态环境损害赔偿诉讼，符合民事诉讼法和本规定并提交下列材料的，人民法院应当登记立案：</w:t>
            </w:r>
          </w:p>
          <w:p w:rsidR="00EA1DF0" w:rsidRPr="00EA1DF0" w:rsidRDefault="00EA1DF0" w:rsidP="00EA1DF0">
            <w:pPr>
              <w:wordWrap w:val="0"/>
              <w:topLinePunct/>
              <w:snapToGrid w:val="0"/>
              <w:spacing w:line="360" w:lineRule="auto"/>
              <w:ind w:firstLine="420"/>
              <w:rPr>
                <w:rFonts w:ascii="宋体" w:hAnsi="宋体" w:hint="eastAsia"/>
                <w:szCs w:val="21"/>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（一）证明具备提起生态环境损害赔偿诉讼原告资格的材料；</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（二）符合本规定第一条规定情形之一的证明材料；</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（三）与被告进行磋商但未达成一致或者因客观原因无法与被告进行磋商的说明；</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（四）符合法律规定的起诉状，并按照被告人数提出副本。</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第六条</w:t>
            </w:r>
            <w:r>
              <w:rPr>
                <w:rFonts w:ascii="宋体" w:eastAsia="宋体" w:hAnsi="宋体" w:hint="eastAsia"/>
                <w:szCs w:val="21"/>
              </w:rPr>
              <w:t xml:space="preserve"> 原告主张被告承担生态环境损害赔偿责任的，应当就以下事实承担举证责任：</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（一）被告实施了污染环境、破坏生态的行为或者具有其他应当依法承担责任的情形；</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（二）生态环境受到损害，以及所需修复费用、损害赔偿等具体数额；</w:t>
            </w:r>
          </w:p>
          <w:p w:rsidR="00EA1DF0" w:rsidRDefault="00EA1DF0" w:rsidP="00EA1DF0">
            <w:pPr>
              <w:wordWrap w:val="0"/>
              <w:topLinePunct/>
              <w:snapToGrid w:val="0"/>
              <w:spacing w:line="360" w:lineRule="auto"/>
              <w:ind w:firstLine="450"/>
              <w:rPr>
                <w:rFonts w:ascii="宋体" w:hAnsi="宋体" w:hint="eastAsia"/>
                <w:szCs w:val="21"/>
              </w:rPr>
            </w:pPr>
            <w:r>
              <w:rPr>
                <w:rFonts w:ascii="宋体" w:eastAsia="宋体" w:hAnsi="宋体" w:hint="eastAsia"/>
                <w:szCs w:val="21"/>
              </w:rPr>
              <w:t>（三）被告污染环境、破坏生态的行为与生态环境损害之间具有关联性。</w:t>
            </w:r>
          </w:p>
          <w:p w:rsidR="00EA1DF0" w:rsidRPr="00EA1DF0" w:rsidRDefault="00EA1DF0" w:rsidP="00EA1DF0">
            <w:pPr>
              <w:wordWrap w:val="0"/>
              <w:topLinePunct/>
              <w:snapToGrid w:val="0"/>
              <w:spacing w:line="360" w:lineRule="auto"/>
              <w:ind w:firstLine="450"/>
              <w:rPr>
                <w:rFonts w:ascii="宋体" w:hAnsi="宋体" w:hint="eastAsia"/>
                <w:szCs w:val="21"/>
              </w:rPr>
            </w:pPr>
          </w:p>
          <w:p w:rsidR="00EA1DF0" w:rsidRDefault="00EA1DF0" w:rsidP="00EA1DF0">
            <w:pPr>
              <w:wordWrap w:val="0"/>
              <w:topLinePunct/>
              <w:snapToGrid w:val="0"/>
              <w:spacing w:line="360" w:lineRule="auto"/>
              <w:ind w:firstLine="435"/>
              <w:rPr>
                <w:rFonts w:ascii="宋体" w:hAnsi="宋体" w:hint="eastAsia"/>
                <w:szCs w:val="21"/>
                <w:lang w:eastAsia="ko-KR"/>
              </w:rPr>
            </w:pPr>
            <w:r>
              <w:rPr>
                <w:rFonts w:ascii="宋体" w:eastAsia="宋体" w:hAnsi="宋体" w:hint="eastAsia"/>
                <w:b/>
                <w:bCs/>
                <w:szCs w:val="21"/>
              </w:rPr>
              <w:t>第七条</w:t>
            </w:r>
            <w:r>
              <w:rPr>
                <w:rFonts w:ascii="宋体" w:eastAsia="宋体" w:hAnsi="宋体" w:hint="eastAsia"/>
                <w:szCs w:val="21"/>
              </w:rPr>
              <w:t xml:space="preserve"> 被告反驳原告主张的，应当</w:t>
            </w:r>
            <w:r>
              <w:rPr>
                <w:rFonts w:ascii="宋体" w:eastAsia="宋体" w:hAnsi="宋体" w:hint="eastAsia"/>
                <w:szCs w:val="21"/>
              </w:rPr>
              <w:lastRenderedPageBreak/>
              <w:t>提供证据加以证明。被告主张具有法律规定的不承担责任或者减轻责任情形的，应当承担举证责任。</w:t>
            </w:r>
          </w:p>
          <w:p w:rsidR="00EA1DF0" w:rsidRPr="00EA1DF0" w:rsidRDefault="00EA1DF0" w:rsidP="00EA1DF0">
            <w:pPr>
              <w:wordWrap w:val="0"/>
              <w:topLinePunct/>
              <w:snapToGrid w:val="0"/>
              <w:spacing w:line="360" w:lineRule="auto"/>
              <w:ind w:firstLine="435"/>
              <w:rPr>
                <w:rFonts w:ascii="宋体" w:hAnsi="宋体" w:hint="eastAsia"/>
                <w:szCs w:val="21"/>
                <w:lang w:eastAsia="ko-KR"/>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第八条</w:t>
            </w:r>
            <w:r>
              <w:rPr>
                <w:rFonts w:ascii="宋体" w:eastAsia="宋体" w:hAnsi="宋体" w:hint="eastAsia"/>
                <w:szCs w:val="21"/>
              </w:rPr>
              <w:t xml:space="preserve"> 已为发生法律效力的刑事裁判所确认的事实，当事人在生态环境损害赔偿诉讼案件中无须举证证明，但有相反证据足以推翻的除外。</w:t>
            </w:r>
          </w:p>
          <w:p w:rsidR="00EA1DF0" w:rsidRDefault="00EA1DF0" w:rsidP="00EA1DF0">
            <w:pPr>
              <w:wordWrap w:val="0"/>
              <w:topLinePunct/>
              <w:snapToGrid w:val="0"/>
              <w:spacing w:line="360" w:lineRule="auto"/>
              <w:ind w:firstLine="450"/>
              <w:rPr>
                <w:rFonts w:ascii="宋体" w:hAnsi="宋体" w:hint="eastAsia"/>
                <w:szCs w:val="21"/>
              </w:rPr>
            </w:pPr>
            <w:r>
              <w:rPr>
                <w:rFonts w:ascii="宋体" w:eastAsia="宋体" w:hAnsi="宋体" w:hint="eastAsia"/>
                <w:szCs w:val="21"/>
              </w:rPr>
              <w:t>对刑事裁判未予确认的事实，当事人提供的证据达到民事诉讼证明标准的，人民法院应当予以认定。</w:t>
            </w:r>
          </w:p>
          <w:p w:rsidR="00EA1DF0" w:rsidRDefault="00EA1DF0" w:rsidP="00EA1DF0">
            <w:pPr>
              <w:wordWrap w:val="0"/>
              <w:topLinePunct/>
              <w:snapToGrid w:val="0"/>
              <w:spacing w:line="360" w:lineRule="auto"/>
              <w:ind w:firstLine="450"/>
              <w:rPr>
                <w:rFonts w:ascii="宋体" w:hAnsi="宋体" w:hint="eastAsia"/>
                <w:szCs w:val="21"/>
                <w:lang w:eastAsia="ko-KR"/>
              </w:rPr>
            </w:pPr>
          </w:p>
          <w:p w:rsidR="00EA1DF0" w:rsidRPr="00EA1DF0" w:rsidRDefault="00EA1DF0" w:rsidP="00EA1DF0">
            <w:pPr>
              <w:wordWrap w:val="0"/>
              <w:topLinePunct/>
              <w:snapToGrid w:val="0"/>
              <w:spacing w:line="360" w:lineRule="auto"/>
              <w:ind w:firstLine="450"/>
              <w:rPr>
                <w:rFonts w:ascii="宋体" w:hAnsi="宋体" w:hint="eastAsia"/>
                <w:szCs w:val="21"/>
              </w:rPr>
            </w:pPr>
          </w:p>
          <w:p w:rsidR="00EA1DF0" w:rsidRDefault="00EA1DF0" w:rsidP="00EA1DF0">
            <w:pPr>
              <w:wordWrap w:val="0"/>
              <w:topLinePunct/>
              <w:snapToGrid w:val="0"/>
              <w:spacing w:line="360" w:lineRule="auto"/>
              <w:ind w:firstLine="435"/>
              <w:rPr>
                <w:rFonts w:ascii="宋体" w:hAnsi="宋体" w:hint="eastAsia"/>
                <w:szCs w:val="21"/>
              </w:rPr>
            </w:pPr>
            <w:r>
              <w:rPr>
                <w:rFonts w:ascii="宋体" w:eastAsia="宋体" w:hAnsi="宋体" w:hint="eastAsia"/>
                <w:b/>
                <w:bCs/>
                <w:szCs w:val="21"/>
              </w:rPr>
              <w:t>第九条</w:t>
            </w:r>
            <w:r>
              <w:rPr>
                <w:rFonts w:ascii="宋体" w:eastAsia="宋体" w:hAnsi="宋体" w:hint="eastAsia"/>
                <w:szCs w:val="21"/>
              </w:rPr>
              <w:t xml:space="preserve"> 负有相关环境资源保护监督管理职责的部门或者其委托的机构在行政执法过程中形成的事件调查报告、检验报告、检测报告、评估报告、监测数据等，经当事人质证并符合证据标准的，可以作为认定案件事实的根据。</w:t>
            </w:r>
          </w:p>
          <w:p w:rsidR="00EA1DF0" w:rsidRPr="00EA1DF0" w:rsidRDefault="00EA1DF0" w:rsidP="00EA1DF0">
            <w:pPr>
              <w:wordWrap w:val="0"/>
              <w:topLinePunct/>
              <w:snapToGrid w:val="0"/>
              <w:spacing w:line="360" w:lineRule="auto"/>
              <w:ind w:firstLine="435"/>
              <w:rPr>
                <w:rFonts w:ascii="宋体" w:hAnsi="宋体" w:hint="eastAsia"/>
                <w:szCs w:val="21"/>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第十条</w:t>
            </w:r>
            <w:r>
              <w:rPr>
                <w:rFonts w:ascii="宋体" w:eastAsia="宋体" w:hAnsi="宋体" w:hint="eastAsia"/>
                <w:szCs w:val="21"/>
              </w:rPr>
              <w:t xml:space="preserve"> 当事人在诉前委托具备环境司法鉴定资质的鉴定机构出具的鉴定意见，以及委托国务院环境资源保护监督管理相关主管部门推荐的机构出具的检验报告、检测报告、评估报告、监测数据等，经当事人质证并符合证据标准的，可以作为认定案件事实的根据。</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第十一条</w:t>
            </w:r>
            <w:r>
              <w:rPr>
                <w:rFonts w:ascii="宋体" w:eastAsia="宋体" w:hAnsi="宋体" w:hint="eastAsia"/>
                <w:szCs w:val="21"/>
              </w:rPr>
              <w:t xml:space="preserve"> 被告违反国家规定造成生态环境损害的，人民法院应当根据原告的诉讼请求以及具体案情，合理判决被告承担修复生态环境、赔偿损失、停止侵害、排除妨碍、消除危险、赔礼道歉</w:t>
            </w:r>
            <w:r>
              <w:rPr>
                <w:rFonts w:ascii="宋体" w:eastAsia="宋体" w:hAnsi="宋体" w:hint="eastAsia"/>
                <w:szCs w:val="21"/>
              </w:rPr>
              <w:lastRenderedPageBreak/>
              <w:t>等民事责任。</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第十二条</w:t>
            </w:r>
            <w:r>
              <w:rPr>
                <w:rFonts w:ascii="宋体" w:eastAsia="宋体" w:hAnsi="宋体" w:hint="eastAsia"/>
                <w:szCs w:val="21"/>
              </w:rPr>
              <w:t xml:space="preserve"> 受损生态环境能够修复的，人民法院应当依法判决被告承担修复责任，并同时确定被告不履行修复义务时应承担的生态环境修复费用。</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生态环境修复费用包括制定、实施修复方案的费用，修复期间的监测、监管费用，以及修复完成后的验收费用、修复效果后评估费用等。</w:t>
            </w:r>
          </w:p>
          <w:p w:rsidR="00EA1DF0" w:rsidRDefault="00EA1DF0" w:rsidP="00EA1DF0">
            <w:pPr>
              <w:wordWrap w:val="0"/>
              <w:topLinePunct/>
              <w:snapToGrid w:val="0"/>
              <w:spacing w:line="360" w:lineRule="auto"/>
              <w:ind w:firstLine="450"/>
              <w:rPr>
                <w:rFonts w:ascii="宋体" w:hAnsi="宋体" w:hint="eastAsia"/>
                <w:szCs w:val="21"/>
              </w:rPr>
            </w:pPr>
            <w:r>
              <w:rPr>
                <w:rFonts w:ascii="宋体" w:eastAsia="宋体" w:hAnsi="宋体" w:hint="eastAsia"/>
                <w:szCs w:val="21"/>
              </w:rPr>
              <w:t>原告请求被告赔偿生态环境受到损害至修复完成期间服务功能损失的，人民法院根据具体案情予以判决。</w:t>
            </w:r>
          </w:p>
          <w:p w:rsidR="00EA1DF0" w:rsidRDefault="00EA1DF0" w:rsidP="00EA1DF0">
            <w:pPr>
              <w:wordWrap w:val="0"/>
              <w:topLinePunct/>
              <w:snapToGrid w:val="0"/>
              <w:spacing w:line="360" w:lineRule="auto"/>
              <w:ind w:firstLine="450"/>
              <w:rPr>
                <w:rFonts w:ascii="宋体" w:hAnsi="宋体" w:hint="eastAsia"/>
                <w:szCs w:val="21"/>
                <w:lang w:eastAsia="ko-KR"/>
              </w:rPr>
            </w:pPr>
          </w:p>
          <w:p w:rsidR="00EA1DF0" w:rsidRPr="00EA1DF0" w:rsidRDefault="00EA1DF0" w:rsidP="00EA1DF0">
            <w:pPr>
              <w:wordWrap w:val="0"/>
              <w:topLinePunct/>
              <w:snapToGrid w:val="0"/>
              <w:spacing w:line="360" w:lineRule="auto"/>
              <w:ind w:firstLine="450"/>
              <w:rPr>
                <w:rFonts w:ascii="宋体" w:hAnsi="宋体" w:hint="eastAsia"/>
                <w:szCs w:val="21"/>
              </w:rPr>
            </w:pPr>
          </w:p>
          <w:p w:rsidR="00EA1DF0" w:rsidRDefault="00EA1DF0" w:rsidP="00EA1DF0">
            <w:pPr>
              <w:wordWrap w:val="0"/>
              <w:topLinePunct/>
              <w:snapToGrid w:val="0"/>
              <w:spacing w:line="360" w:lineRule="auto"/>
              <w:ind w:firstLine="420"/>
              <w:rPr>
                <w:rFonts w:ascii="宋体" w:hAnsi="宋体" w:hint="eastAsia"/>
                <w:szCs w:val="21"/>
              </w:rPr>
            </w:pPr>
            <w:r>
              <w:rPr>
                <w:rFonts w:ascii="宋体" w:eastAsia="宋体" w:hAnsi="宋体" w:hint="eastAsia"/>
                <w:b/>
                <w:bCs/>
                <w:szCs w:val="21"/>
              </w:rPr>
              <w:t>第十三条</w:t>
            </w:r>
            <w:r>
              <w:rPr>
                <w:rFonts w:ascii="宋体" w:eastAsia="宋体" w:hAnsi="宋体" w:hint="eastAsia"/>
                <w:szCs w:val="21"/>
              </w:rPr>
              <w:t xml:space="preserve"> 受损生态环境无法修复或者无法完全修复，原告请求被告赔偿生态环境功能永久性损害造成的损失的，人民法院根据具体案情予以判决。</w:t>
            </w:r>
          </w:p>
          <w:p w:rsidR="00EA1DF0" w:rsidRDefault="00EA1DF0" w:rsidP="00EA1DF0">
            <w:pPr>
              <w:wordWrap w:val="0"/>
              <w:topLinePunct/>
              <w:snapToGrid w:val="0"/>
              <w:spacing w:line="360" w:lineRule="auto"/>
              <w:ind w:firstLine="420"/>
              <w:rPr>
                <w:rFonts w:ascii="宋体" w:hAnsi="宋体" w:hint="eastAsia"/>
                <w:szCs w:val="21"/>
                <w:lang w:eastAsia="ko-KR"/>
              </w:rPr>
            </w:pPr>
          </w:p>
          <w:p w:rsidR="00EA1DF0" w:rsidRPr="00EA1DF0" w:rsidRDefault="00EA1DF0" w:rsidP="00EA1DF0">
            <w:pPr>
              <w:wordWrap w:val="0"/>
              <w:topLinePunct/>
              <w:snapToGrid w:val="0"/>
              <w:spacing w:line="360" w:lineRule="auto"/>
              <w:ind w:firstLine="420"/>
              <w:rPr>
                <w:rFonts w:ascii="宋体" w:hAnsi="宋体" w:hint="eastAsia"/>
                <w:szCs w:val="21"/>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第十四条</w:t>
            </w:r>
            <w:r>
              <w:rPr>
                <w:rFonts w:ascii="宋体" w:eastAsia="宋体" w:hAnsi="宋体" w:hint="eastAsia"/>
                <w:szCs w:val="21"/>
              </w:rPr>
              <w:t xml:space="preserve"> 原告请求被告承担下列费用的，人民法院根据具体案情予以判决：</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（一）实施应急方案、清除污染以及为防止损害的发生和扩大所支出的合理费用；</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（二）</w:t>
            </w:r>
            <w:r w:rsidRPr="00EA1DF0">
              <w:rPr>
                <w:rFonts w:ascii="宋体" w:eastAsia="宋体" w:hAnsi="宋体" w:hint="eastAsia"/>
                <w:w w:val="90"/>
                <w:szCs w:val="21"/>
              </w:rPr>
              <w:t>为生态环境损害赔偿磋商和诉讼支出的调查、检验、鉴定、评估等费用；</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（三）合理的律师费以及其他为诉讼支出的合理费用。</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第十五条</w:t>
            </w:r>
            <w:r>
              <w:rPr>
                <w:rFonts w:ascii="宋体" w:eastAsia="宋体" w:hAnsi="宋体" w:hint="eastAsia"/>
                <w:szCs w:val="21"/>
              </w:rPr>
              <w:t xml:space="preserve"> </w:t>
            </w:r>
            <w:r w:rsidRPr="00EA1DF0">
              <w:rPr>
                <w:rFonts w:ascii="宋体" w:eastAsia="宋体" w:hAnsi="宋体" w:hint="eastAsia"/>
                <w:w w:val="90"/>
                <w:szCs w:val="21"/>
              </w:rPr>
              <w:t>人民法院判决被告承担的生态环境服务功能损失赔偿资金、生态环境功</w:t>
            </w:r>
            <w:r w:rsidRPr="00EA1DF0">
              <w:rPr>
                <w:rFonts w:ascii="宋体" w:eastAsia="宋体" w:hAnsi="宋体" w:hint="eastAsia"/>
                <w:w w:val="90"/>
                <w:szCs w:val="21"/>
              </w:rPr>
              <w:lastRenderedPageBreak/>
              <w:t>能永久性损害造成的损失赔偿资金，以及被告不履行生态环境修复义务时所应承担的修复费用，应当依照法律、法规、规章予以缴纳、管理和使用。</w:t>
            </w: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第十六条</w:t>
            </w:r>
            <w:r>
              <w:rPr>
                <w:rFonts w:ascii="宋体" w:eastAsia="宋体" w:hAnsi="宋体" w:hint="eastAsia"/>
                <w:szCs w:val="21"/>
              </w:rPr>
              <w:t xml:space="preserve"> 在生态环境损害赔偿诉讼案件审理过程中，同一损害生态环境行为又被提起民事公益诉讼，符合起诉条件的，应当由受理生态环境损害赔偿诉讼案件的人民法院受理并由同一审判组织审理。</w:t>
            </w:r>
          </w:p>
          <w:p w:rsidR="00EA1DF0" w:rsidRDefault="00EA1DF0" w:rsidP="00EA1DF0">
            <w:pPr>
              <w:wordWrap w:val="0"/>
              <w:topLinePunct/>
              <w:snapToGrid w:val="0"/>
              <w:spacing w:line="360" w:lineRule="auto"/>
              <w:ind w:firstLine="435"/>
              <w:rPr>
                <w:rFonts w:ascii="宋体" w:hAnsi="宋体" w:hint="eastAsia"/>
                <w:szCs w:val="21"/>
              </w:rPr>
            </w:pPr>
            <w:r>
              <w:rPr>
                <w:rFonts w:ascii="宋体" w:eastAsia="宋体" w:hAnsi="宋体" w:hint="eastAsia"/>
                <w:b/>
                <w:bCs/>
                <w:szCs w:val="21"/>
              </w:rPr>
              <w:t>第十七条</w:t>
            </w:r>
            <w:r>
              <w:rPr>
                <w:rFonts w:ascii="宋体" w:eastAsia="宋体" w:hAnsi="宋体" w:hint="eastAsia"/>
                <w:szCs w:val="21"/>
              </w:rPr>
              <w:t xml:space="preserve"> 人民法院受理因同一损害生态环境行为提起的生态环境损害赔偿诉讼案件和民事公益诉讼案件，应先中止民事公益诉讼案件的审理，待生态环境损害赔偿诉讼案件审理完毕后，就民事公益诉讼案件未被涵盖的诉讼请求依法作出裁判。</w:t>
            </w:r>
          </w:p>
          <w:p w:rsidR="00EA1DF0" w:rsidRPr="00EA1DF0" w:rsidRDefault="00EA1DF0" w:rsidP="00EA1DF0">
            <w:pPr>
              <w:wordWrap w:val="0"/>
              <w:topLinePunct/>
              <w:snapToGrid w:val="0"/>
              <w:spacing w:line="360" w:lineRule="auto"/>
              <w:ind w:firstLine="435"/>
              <w:rPr>
                <w:rFonts w:ascii="宋体" w:hAnsi="宋体" w:hint="eastAsia"/>
                <w:szCs w:val="21"/>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 xml:space="preserve">　第十八条</w:t>
            </w:r>
            <w:r>
              <w:rPr>
                <w:rFonts w:ascii="宋体" w:eastAsia="宋体" w:hAnsi="宋体" w:hint="eastAsia"/>
                <w:szCs w:val="21"/>
              </w:rPr>
              <w:t xml:space="preserve"> 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p>
          <w:p w:rsidR="00EA1DF0" w:rsidRDefault="00EA1DF0" w:rsidP="00EA1DF0">
            <w:pPr>
              <w:wordWrap w:val="0"/>
              <w:topLinePunct/>
              <w:snapToGrid w:val="0"/>
              <w:spacing w:line="360" w:lineRule="auto"/>
              <w:ind w:firstLine="450"/>
              <w:rPr>
                <w:rFonts w:ascii="宋体" w:hAnsi="宋体" w:hint="eastAsia"/>
                <w:szCs w:val="21"/>
              </w:rPr>
            </w:pPr>
            <w:r>
              <w:rPr>
                <w:rFonts w:ascii="宋体" w:eastAsia="宋体" w:hAnsi="宋体" w:hint="eastAsia"/>
                <w:szCs w:val="21"/>
              </w:rPr>
              <w:t>民事公益诉讼案件的裁判生效后，有权提起生态环境损害赔偿诉讼的主体就同一损害生态环境行为有证据证明存在前案审理时未发现的损害，并提起生态环境损害赔偿诉讼的，人民法院应予受理。</w:t>
            </w:r>
          </w:p>
          <w:p w:rsidR="00EA1DF0" w:rsidRDefault="00EA1DF0" w:rsidP="00EA1DF0">
            <w:pPr>
              <w:wordWrap w:val="0"/>
              <w:topLinePunct/>
              <w:snapToGrid w:val="0"/>
              <w:spacing w:line="360" w:lineRule="auto"/>
              <w:ind w:firstLine="450"/>
              <w:rPr>
                <w:rFonts w:ascii="宋体" w:hAnsi="宋体" w:hint="eastAsia"/>
                <w:szCs w:val="21"/>
                <w:lang w:eastAsia="ko-KR"/>
              </w:rPr>
            </w:pPr>
          </w:p>
          <w:p w:rsidR="00EA1DF0" w:rsidRDefault="00EA1DF0" w:rsidP="00EA1DF0">
            <w:pPr>
              <w:wordWrap w:val="0"/>
              <w:topLinePunct/>
              <w:snapToGrid w:val="0"/>
              <w:spacing w:line="360" w:lineRule="auto"/>
              <w:ind w:firstLine="450"/>
              <w:rPr>
                <w:rFonts w:ascii="宋体" w:hAnsi="宋体" w:hint="eastAsia"/>
                <w:szCs w:val="21"/>
                <w:lang w:eastAsia="ko-KR"/>
              </w:rPr>
            </w:pPr>
          </w:p>
          <w:p w:rsidR="00EA1DF0" w:rsidRPr="00EA1DF0" w:rsidRDefault="00EA1DF0" w:rsidP="00EA1DF0">
            <w:pPr>
              <w:wordWrap w:val="0"/>
              <w:topLinePunct/>
              <w:snapToGrid w:val="0"/>
              <w:spacing w:line="360" w:lineRule="auto"/>
              <w:ind w:firstLine="450"/>
              <w:rPr>
                <w:rFonts w:ascii="宋体" w:hAnsi="宋体" w:hint="eastAsia"/>
                <w:szCs w:val="21"/>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第十九条</w:t>
            </w:r>
            <w:r>
              <w:rPr>
                <w:rFonts w:ascii="宋体" w:eastAsia="宋体" w:hAnsi="宋体" w:hint="eastAsia"/>
                <w:szCs w:val="21"/>
              </w:rPr>
              <w:t xml:space="preserve"> 实际支出应急处置费用的机关提起诉讼主张该费用的，人民法院应予受理，但人民法院已经受理就同一损害生态环境行为提起的生态环境损害赔偿诉讼案件且该案原告已经主张应急处置费用的除外。</w:t>
            </w:r>
          </w:p>
          <w:p w:rsidR="00EA1DF0" w:rsidRDefault="00EA1DF0" w:rsidP="00EA1DF0">
            <w:pPr>
              <w:wordWrap w:val="0"/>
              <w:topLinePunct/>
              <w:snapToGrid w:val="0"/>
              <w:spacing w:line="360" w:lineRule="auto"/>
              <w:ind w:firstLine="450"/>
              <w:rPr>
                <w:rFonts w:ascii="宋体" w:hAnsi="宋体" w:hint="eastAsia"/>
                <w:szCs w:val="21"/>
              </w:rPr>
            </w:pPr>
            <w:r>
              <w:rPr>
                <w:rFonts w:ascii="宋体" w:eastAsia="宋体" w:hAnsi="宋体" w:hint="eastAsia"/>
                <w:szCs w:val="21"/>
              </w:rPr>
              <w:t>生态环境损害赔偿诉讼案件原告未主张应急处置费用，因同一损害生态环境行为实际支出应急处置费用的机关提起诉讼主张该费用的，由受理生态环境损害赔偿诉讼案件的人民法院受理并由同一审判组织审理。</w:t>
            </w:r>
          </w:p>
          <w:p w:rsidR="00EA1DF0" w:rsidRDefault="00EA1DF0" w:rsidP="00EA1DF0">
            <w:pPr>
              <w:wordWrap w:val="0"/>
              <w:topLinePunct/>
              <w:snapToGrid w:val="0"/>
              <w:spacing w:line="360" w:lineRule="auto"/>
              <w:ind w:firstLine="450"/>
              <w:rPr>
                <w:rFonts w:ascii="宋体" w:hAnsi="宋体" w:hint="eastAsia"/>
                <w:szCs w:val="21"/>
                <w:lang w:eastAsia="ko-KR"/>
              </w:rPr>
            </w:pPr>
          </w:p>
          <w:p w:rsidR="00EA1DF0" w:rsidRPr="00EA1DF0" w:rsidRDefault="00EA1DF0" w:rsidP="00EA1DF0">
            <w:pPr>
              <w:wordWrap w:val="0"/>
              <w:topLinePunct/>
              <w:snapToGrid w:val="0"/>
              <w:spacing w:line="360" w:lineRule="auto"/>
              <w:ind w:firstLine="450"/>
              <w:rPr>
                <w:rFonts w:ascii="宋体" w:hAnsi="宋体" w:hint="eastAsia"/>
                <w:szCs w:val="21"/>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第二十条</w:t>
            </w:r>
            <w:r>
              <w:rPr>
                <w:rFonts w:ascii="宋体" w:eastAsia="宋体" w:hAnsi="宋体" w:hint="eastAsia"/>
                <w:szCs w:val="21"/>
              </w:rPr>
              <w:t xml:space="preserve"> 经磋商达成生态环境损害赔偿协议的，当事人可以向人民法院申请司法确认。</w:t>
            </w:r>
          </w:p>
          <w:p w:rsidR="00EA1DF0" w:rsidRDefault="00EA1DF0" w:rsidP="00EA1DF0">
            <w:pPr>
              <w:wordWrap w:val="0"/>
              <w:topLinePunct/>
              <w:snapToGrid w:val="0"/>
              <w:spacing w:line="360" w:lineRule="auto"/>
              <w:ind w:firstLine="450"/>
              <w:rPr>
                <w:rFonts w:ascii="宋体" w:hAnsi="宋体" w:hint="eastAsia"/>
                <w:szCs w:val="21"/>
                <w:lang w:eastAsia="ko-KR"/>
              </w:rPr>
            </w:pPr>
            <w:r>
              <w:rPr>
                <w:rFonts w:ascii="宋体" w:eastAsia="宋体" w:hAnsi="宋体" w:hint="eastAsia"/>
                <w:szCs w:val="21"/>
              </w:rPr>
              <w:t>人民法院受理申请后，应当公告协议内容，公告期间不少于三十日。公告期满后，人民法院经审查认为协议的内容不违反法律法规强制性规定且不损害国家利益、社会公共利益的，裁定确认协议有效。裁定书应当写明案件的基本事实和协议内容</w:t>
            </w:r>
            <w:bookmarkStart w:id="0" w:name="_GoBack"/>
            <w:bookmarkEnd w:id="0"/>
            <w:r>
              <w:rPr>
                <w:rFonts w:ascii="宋体" w:eastAsia="宋体" w:hAnsi="宋体" w:hint="eastAsia"/>
                <w:szCs w:val="21"/>
              </w:rPr>
              <w:t>，并向社会公开。</w:t>
            </w:r>
          </w:p>
          <w:p w:rsidR="00EA1DF0" w:rsidRDefault="00EA1DF0" w:rsidP="00EA1DF0">
            <w:pPr>
              <w:wordWrap w:val="0"/>
              <w:topLinePunct/>
              <w:snapToGrid w:val="0"/>
              <w:spacing w:line="360" w:lineRule="auto"/>
              <w:ind w:firstLine="450"/>
              <w:rPr>
                <w:rFonts w:ascii="宋体" w:hAnsi="宋体" w:hint="eastAsia"/>
                <w:szCs w:val="21"/>
                <w:lang w:eastAsia="ko-KR"/>
              </w:rPr>
            </w:pPr>
          </w:p>
          <w:p w:rsidR="00EA1DF0" w:rsidRPr="00EA1DF0" w:rsidRDefault="00EA1DF0" w:rsidP="00EA1DF0">
            <w:pPr>
              <w:wordWrap w:val="0"/>
              <w:topLinePunct/>
              <w:snapToGrid w:val="0"/>
              <w:spacing w:line="360" w:lineRule="auto"/>
              <w:ind w:firstLine="450"/>
              <w:rPr>
                <w:rFonts w:ascii="宋体" w:hAnsi="宋体" w:hint="eastAsia"/>
                <w:szCs w:val="21"/>
                <w:lang w:eastAsia="ko-KR"/>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第二十一条</w:t>
            </w:r>
            <w:r>
              <w:rPr>
                <w:rFonts w:ascii="宋体" w:eastAsia="宋体" w:hAnsi="宋体" w:hint="eastAsia"/>
                <w:szCs w:val="21"/>
              </w:rPr>
              <w:t xml:space="preserve"> 一方当事人在期限内未履行或者未全部履行发生法律效力的生态环境损害赔偿诉讼案件裁判或者经司法确认的生态环境损害赔偿协议的，对方当事人可以向人民法院申请强制执</w:t>
            </w:r>
            <w:r>
              <w:rPr>
                <w:rFonts w:ascii="宋体" w:eastAsia="宋体" w:hAnsi="宋体" w:hint="eastAsia"/>
                <w:szCs w:val="21"/>
              </w:rPr>
              <w:lastRenderedPageBreak/>
              <w:t>行。需要修复生态环境的，依法由省级、市地级人民政府及其指定的相关部门、机构组织实施。</w:t>
            </w:r>
          </w:p>
          <w:p w:rsidR="00EA1DF0" w:rsidRDefault="00EA1DF0" w:rsidP="00EA1DF0">
            <w:pPr>
              <w:wordWrap w:val="0"/>
              <w:topLinePunct/>
              <w:snapToGrid w:val="0"/>
              <w:spacing w:line="360" w:lineRule="auto"/>
              <w:ind w:firstLine="435"/>
              <w:rPr>
                <w:rFonts w:ascii="宋体" w:hAnsi="宋体" w:hint="eastAsia"/>
                <w:szCs w:val="21"/>
              </w:rPr>
            </w:pPr>
            <w:r>
              <w:rPr>
                <w:rFonts w:ascii="宋体" w:eastAsia="宋体" w:hAnsi="宋体" w:hint="eastAsia"/>
                <w:b/>
                <w:bCs/>
                <w:szCs w:val="21"/>
              </w:rPr>
              <w:t>第二十二条</w:t>
            </w:r>
            <w:r>
              <w:rPr>
                <w:rFonts w:ascii="宋体" w:eastAsia="宋体" w:hAnsi="宋体" w:hint="eastAsia"/>
                <w:szCs w:val="21"/>
              </w:rPr>
              <w:t xml:space="preserve"> 人民法院审理生态环境损害赔偿案件，本规定没有规定的，参照适用《最高人民法院关于审理环境民事公益诉讼案件适用法律若干问题的解释》《最高人民法院关于审理环境侵权责任纠纷案件适用法律若干问题的解释》等相关司法解释的规定。</w:t>
            </w:r>
          </w:p>
          <w:p w:rsidR="00EA1DF0" w:rsidRPr="00EA1DF0" w:rsidRDefault="00EA1DF0" w:rsidP="00EA1DF0">
            <w:pPr>
              <w:wordWrap w:val="0"/>
              <w:topLinePunct/>
              <w:snapToGrid w:val="0"/>
              <w:spacing w:line="360" w:lineRule="auto"/>
              <w:ind w:firstLine="435"/>
              <w:rPr>
                <w:rFonts w:ascii="宋体" w:hAnsi="宋体" w:hint="eastAsia"/>
                <w:szCs w:val="21"/>
              </w:rPr>
            </w:pPr>
          </w:p>
          <w:p w:rsidR="00EA1DF0" w:rsidRDefault="00EA1DF0" w:rsidP="00EA1DF0">
            <w:pPr>
              <w:wordWrap w:val="0"/>
              <w:topLinePunct/>
              <w:snapToGrid w:val="0"/>
              <w:spacing w:line="360" w:lineRule="auto"/>
              <w:rPr>
                <w:rFonts w:ascii="宋体" w:eastAsia="宋体" w:hAnsi="宋体" w:hint="eastAsia"/>
                <w:szCs w:val="21"/>
              </w:rPr>
            </w:pPr>
            <w:r>
              <w:rPr>
                <w:rFonts w:ascii="宋体" w:eastAsia="宋体" w:hAnsi="宋体" w:hint="eastAsia"/>
                <w:szCs w:val="21"/>
              </w:rPr>
              <w:t xml:space="preserve">　　</w:t>
            </w:r>
            <w:r>
              <w:rPr>
                <w:rFonts w:ascii="宋体" w:eastAsia="宋体" w:hAnsi="宋体" w:hint="eastAsia"/>
                <w:b/>
                <w:bCs/>
                <w:szCs w:val="21"/>
              </w:rPr>
              <w:t>第二十三条</w:t>
            </w:r>
            <w:r>
              <w:rPr>
                <w:rFonts w:ascii="宋体" w:eastAsia="宋体" w:hAnsi="宋体" w:hint="eastAsia"/>
                <w:szCs w:val="21"/>
              </w:rPr>
              <w:t xml:space="preserve"> 本规定自2019年6月5日起施行。</w:t>
            </w:r>
          </w:p>
          <w:p w:rsidR="00FE1FE8" w:rsidRPr="00EA1DF0" w:rsidRDefault="00FE1FE8" w:rsidP="00FE1FE8"/>
          <w:p w:rsidR="00575758" w:rsidRPr="00FE1FE8" w:rsidRDefault="00575758" w:rsidP="00575758">
            <w:pPr>
              <w:wordWrap w:val="0"/>
              <w:snapToGrid w:val="0"/>
              <w:spacing w:line="360" w:lineRule="auto"/>
              <w:rPr>
                <w:rFonts w:ascii="宋体" w:eastAsia="宋体" w:hAnsi="宋体"/>
                <w:szCs w:val="21"/>
              </w:rPr>
            </w:pPr>
          </w:p>
          <w:p w:rsidR="000A3042" w:rsidRPr="00575758" w:rsidRDefault="000A3042" w:rsidP="000A3042">
            <w:pPr>
              <w:wordWrap w:val="0"/>
              <w:topLinePunct/>
              <w:snapToGrid w:val="0"/>
              <w:spacing w:line="360" w:lineRule="auto"/>
              <w:rPr>
                <w:rFonts w:ascii="宋体" w:eastAsia="宋体" w:hAnsi="宋体"/>
                <w:szCs w:val="21"/>
              </w:rPr>
            </w:pPr>
          </w:p>
          <w:p w:rsidR="00DB5008" w:rsidRPr="000A3042" w:rsidRDefault="00DB5008" w:rsidP="00375921">
            <w:pPr>
              <w:snapToGrid w:val="0"/>
              <w:spacing w:line="300" w:lineRule="auto"/>
              <w:jc w:val="right"/>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84" w:rsidRDefault="00840484" w:rsidP="00C278F4">
      <w:r>
        <w:separator/>
      </w:r>
    </w:p>
  </w:endnote>
  <w:endnote w:type="continuationSeparator" w:id="0">
    <w:p w:rsidR="00840484" w:rsidRDefault="0084048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84" w:rsidRDefault="00840484" w:rsidP="00C278F4">
      <w:r>
        <w:separator/>
      </w:r>
    </w:p>
  </w:footnote>
  <w:footnote w:type="continuationSeparator" w:id="0">
    <w:p w:rsidR="00840484" w:rsidRDefault="0084048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1">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2"/>
  </w:num>
  <w:num w:numId="4">
    <w:abstractNumId w:val="16"/>
  </w:num>
  <w:num w:numId="5">
    <w:abstractNumId w:val="4"/>
  </w:num>
  <w:num w:numId="6">
    <w:abstractNumId w:val="8"/>
  </w:num>
  <w:num w:numId="7">
    <w:abstractNumId w:val="20"/>
  </w:num>
  <w:num w:numId="8">
    <w:abstractNumId w:val="3"/>
  </w:num>
  <w:num w:numId="9">
    <w:abstractNumId w:val="18"/>
  </w:num>
  <w:num w:numId="10">
    <w:abstractNumId w:val="9"/>
  </w:num>
  <w:num w:numId="11">
    <w:abstractNumId w:val="15"/>
  </w:num>
  <w:num w:numId="12">
    <w:abstractNumId w:val="11"/>
  </w:num>
  <w:num w:numId="13">
    <w:abstractNumId w:val="21"/>
  </w:num>
  <w:num w:numId="14">
    <w:abstractNumId w:val="17"/>
  </w:num>
  <w:num w:numId="15">
    <w:abstractNumId w:val="10"/>
  </w:num>
  <w:num w:numId="16">
    <w:abstractNumId w:val="1"/>
  </w:num>
  <w:num w:numId="17">
    <w:abstractNumId w:val="14"/>
  </w:num>
  <w:num w:numId="18">
    <w:abstractNumId w:val="5"/>
  </w:num>
  <w:num w:numId="19">
    <w:abstractNumId w:val="6"/>
  </w:num>
  <w:num w:numId="20">
    <w:abstractNumId w:val="0"/>
  </w:num>
  <w:num w:numId="21">
    <w:abstractNumId w:val="19"/>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A3042"/>
    <w:rsid w:val="000D115A"/>
    <w:rsid w:val="00100135"/>
    <w:rsid w:val="00112071"/>
    <w:rsid w:val="00135A6C"/>
    <w:rsid w:val="00140993"/>
    <w:rsid w:val="00154B66"/>
    <w:rsid w:val="0016200D"/>
    <w:rsid w:val="00166522"/>
    <w:rsid w:val="00195BE9"/>
    <w:rsid w:val="001A2B88"/>
    <w:rsid w:val="001A612D"/>
    <w:rsid w:val="001D31E0"/>
    <w:rsid w:val="001F2DDE"/>
    <w:rsid w:val="001F4507"/>
    <w:rsid w:val="002068CB"/>
    <w:rsid w:val="00210ACB"/>
    <w:rsid w:val="00210CC1"/>
    <w:rsid w:val="00212371"/>
    <w:rsid w:val="00217D55"/>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4029F2"/>
    <w:rsid w:val="0042048E"/>
    <w:rsid w:val="00432A54"/>
    <w:rsid w:val="00444F1B"/>
    <w:rsid w:val="00450E11"/>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75758"/>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59C5"/>
    <w:rsid w:val="00827BB7"/>
    <w:rsid w:val="00840484"/>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7270"/>
    <w:rsid w:val="00B2417B"/>
    <w:rsid w:val="00B86A82"/>
    <w:rsid w:val="00B87E3D"/>
    <w:rsid w:val="00B96E54"/>
    <w:rsid w:val="00BB1357"/>
    <w:rsid w:val="00BB6FFC"/>
    <w:rsid w:val="00BC67B4"/>
    <w:rsid w:val="00BD2273"/>
    <w:rsid w:val="00BE5CE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319A0"/>
    <w:rsid w:val="00E46AEF"/>
    <w:rsid w:val="00E75E1F"/>
    <w:rsid w:val="00E7653A"/>
    <w:rsid w:val="00E9059C"/>
    <w:rsid w:val="00E9086C"/>
    <w:rsid w:val="00E9758D"/>
    <w:rsid w:val="00EA1DF0"/>
    <w:rsid w:val="00EE4CB9"/>
    <w:rsid w:val="00EF1764"/>
    <w:rsid w:val="00F01C22"/>
    <w:rsid w:val="00F078AB"/>
    <w:rsid w:val="00F22D10"/>
    <w:rsid w:val="00F261B7"/>
    <w:rsid w:val="00F32227"/>
    <w:rsid w:val="00F6633C"/>
    <w:rsid w:val="00F74269"/>
    <w:rsid w:val="00F77275"/>
    <w:rsid w:val="00F83BC3"/>
    <w:rsid w:val="00F916FD"/>
    <w:rsid w:val="00FA333E"/>
    <w:rsid w:val="00FA3D01"/>
    <w:rsid w:val="00FA547E"/>
    <w:rsid w:val="00FA56A2"/>
    <w:rsid w:val="00FB2151"/>
    <w:rsid w:val="00FD7C0A"/>
    <w:rsid w:val="00FE1FE8"/>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461412845">
      <w:bodyDiv w:val="1"/>
      <w:marLeft w:val="0"/>
      <w:marRight w:val="0"/>
      <w:marTop w:val="0"/>
      <w:marBottom w:val="0"/>
      <w:divBdr>
        <w:top w:val="none" w:sz="0" w:space="0" w:color="auto"/>
        <w:left w:val="none" w:sz="0" w:space="0" w:color="auto"/>
        <w:bottom w:val="none" w:sz="0" w:space="0" w:color="auto"/>
        <w:right w:val="none" w:sz="0" w:space="0" w:color="auto"/>
      </w:divBdr>
    </w:div>
    <w:div w:id="17286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08F0-73CC-4544-AC91-194AF6EF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8</Pages>
  <Words>1251</Words>
  <Characters>7132</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68</cp:revision>
  <dcterms:created xsi:type="dcterms:W3CDTF">2016-01-15T03:23:00Z</dcterms:created>
  <dcterms:modified xsi:type="dcterms:W3CDTF">2021-01-14T05:31:00Z</dcterms:modified>
</cp:coreProperties>
</file>