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3C65AD" w:rsidTr="00891F4C">
        <w:tc>
          <w:tcPr>
            <w:tcW w:w="4785" w:type="dxa"/>
          </w:tcPr>
          <w:p w:rsidR="003C65AD" w:rsidRDefault="003C65AD" w:rsidP="003C65AD">
            <w:pPr>
              <w:wordWrap w:val="0"/>
              <w:autoSpaceDN w:val="0"/>
              <w:spacing w:line="290" w:lineRule="atLeast"/>
              <w:jc w:val="center"/>
              <w:rPr>
                <w:rFonts w:ascii="한컴바탕" w:eastAsia="한컴바탕" w:hAnsi="한컴바탕" w:cs="한컴바탕" w:hint="eastAsia"/>
                <w:b/>
                <w:sz w:val="26"/>
                <w:szCs w:val="26"/>
              </w:rPr>
            </w:pPr>
            <w:r w:rsidRPr="003C65AD">
              <w:rPr>
                <w:rFonts w:ascii="한컴바탕" w:eastAsia="한컴바탕" w:hAnsi="한컴바탕" w:cs="한컴바탕" w:hint="eastAsia"/>
                <w:b/>
                <w:sz w:val="26"/>
                <w:szCs w:val="26"/>
                <w:lang w:eastAsia="ko-KR"/>
              </w:rPr>
              <w:t>기업</w:t>
            </w:r>
            <w:r w:rsidRPr="003C65AD">
              <w:rPr>
                <w:rFonts w:ascii="한컴바탕" w:eastAsia="한컴바탕" w:hAnsi="한컴바탕" w:cs="한컴바탕"/>
                <w:b/>
                <w:sz w:val="26"/>
                <w:szCs w:val="26"/>
                <w:lang w:eastAsia="ko-KR"/>
              </w:rPr>
              <w:t xml:space="preserve"> </w:t>
            </w:r>
            <w:r w:rsidRPr="003C65AD">
              <w:rPr>
                <w:rFonts w:ascii="한컴바탕" w:eastAsia="한컴바탕" w:hAnsi="한컴바탕" w:cs="한컴바탕" w:hint="eastAsia"/>
                <w:b/>
                <w:sz w:val="26"/>
                <w:szCs w:val="26"/>
                <w:lang w:eastAsia="ko-KR"/>
              </w:rPr>
              <w:t>구조조정</w:t>
            </w:r>
            <w:r w:rsidRPr="003C65AD">
              <w:rPr>
                <w:rFonts w:ascii="한컴바탕" w:eastAsia="한컴바탕" w:hAnsi="한컴바탕" w:cs="한컴바탕"/>
                <w:b/>
                <w:sz w:val="26"/>
                <w:szCs w:val="26"/>
                <w:lang w:eastAsia="ko-KR"/>
              </w:rPr>
              <w:t xml:space="preserve"> </w:t>
            </w:r>
            <w:r w:rsidRPr="003C65AD">
              <w:rPr>
                <w:rFonts w:ascii="한컴바탕" w:eastAsia="한컴바탕" w:hAnsi="한컴바탕" w:cs="한컴바탕" w:hint="eastAsia"/>
                <w:b/>
                <w:sz w:val="26"/>
                <w:szCs w:val="26"/>
                <w:lang w:eastAsia="ko-KR"/>
              </w:rPr>
              <w:t>업무의</w:t>
            </w:r>
            <w:r w:rsidRPr="003C65AD">
              <w:rPr>
                <w:rFonts w:ascii="한컴바탕" w:eastAsia="한컴바탕" w:hAnsi="한컴바탕" w:cs="한컴바탕"/>
                <w:b/>
                <w:sz w:val="26"/>
                <w:szCs w:val="26"/>
                <w:lang w:eastAsia="ko-KR"/>
              </w:rPr>
              <w:t xml:space="preserve"> </w:t>
            </w:r>
            <w:r w:rsidRPr="003C65AD">
              <w:rPr>
                <w:rFonts w:ascii="한컴바탕" w:eastAsia="한컴바탕" w:hAnsi="한컴바탕" w:cs="한컴바탕" w:hint="eastAsia"/>
                <w:b/>
                <w:sz w:val="26"/>
                <w:szCs w:val="26"/>
                <w:lang w:eastAsia="ko-KR"/>
              </w:rPr>
              <w:t>기업소득세</w:t>
            </w:r>
            <w:r w:rsidRPr="003C65AD">
              <w:rPr>
                <w:rFonts w:ascii="한컴바탕" w:eastAsia="한컴바탕" w:hAnsi="한컴바탕" w:cs="한컴바탕"/>
                <w:b/>
                <w:sz w:val="26"/>
                <w:szCs w:val="26"/>
                <w:lang w:eastAsia="ko-KR"/>
              </w:rPr>
              <w:t xml:space="preserve"> </w:t>
            </w:r>
          </w:p>
          <w:p w:rsidR="003C65AD" w:rsidRDefault="003C65AD" w:rsidP="003C65AD">
            <w:pPr>
              <w:wordWrap w:val="0"/>
              <w:autoSpaceDN w:val="0"/>
              <w:spacing w:line="290" w:lineRule="atLeast"/>
              <w:jc w:val="center"/>
              <w:rPr>
                <w:rFonts w:ascii="한컴바탕" w:eastAsia="한컴바탕" w:hAnsi="한컴바탕" w:cs="한컴바탕" w:hint="eastAsia"/>
                <w:b/>
                <w:sz w:val="26"/>
                <w:szCs w:val="26"/>
                <w:lang w:eastAsia="ko-KR"/>
              </w:rPr>
            </w:pPr>
            <w:r w:rsidRPr="003C65AD">
              <w:rPr>
                <w:rFonts w:ascii="한컴바탕" w:eastAsia="한컴바탕" w:hAnsi="한컴바탕" w:cs="한컴바탕" w:hint="eastAsia"/>
                <w:b/>
                <w:sz w:val="26"/>
                <w:szCs w:val="26"/>
                <w:lang w:eastAsia="ko-KR"/>
              </w:rPr>
              <w:t>징수</w:t>
            </w:r>
            <w:r w:rsidRPr="003C65AD">
              <w:rPr>
                <w:rFonts w:ascii="한컴바탕" w:eastAsia="한컴바탕" w:hAnsi="한컴바탕" w:cs="한컴바탕"/>
                <w:b/>
                <w:sz w:val="26"/>
                <w:szCs w:val="26"/>
                <w:lang w:eastAsia="ko-KR"/>
              </w:rPr>
              <w:t xml:space="preserve"> </w:t>
            </w:r>
            <w:r w:rsidRPr="003C65AD">
              <w:rPr>
                <w:rFonts w:ascii="한컴바탕" w:eastAsia="한컴바탕" w:hAnsi="한컴바탕" w:cs="한컴바탕" w:hint="eastAsia"/>
                <w:b/>
                <w:sz w:val="26"/>
                <w:szCs w:val="26"/>
                <w:lang w:eastAsia="ko-KR"/>
              </w:rPr>
              <w:t>관리 관련</w:t>
            </w:r>
            <w:r w:rsidRPr="003C65AD">
              <w:rPr>
                <w:rFonts w:ascii="한컴바탕" w:eastAsia="한컴바탕" w:hAnsi="한컴바탕" w:cs="한컴바탕"/>
                <w:b/>
                <w:sz w:val="26"/>
                <w:szCs w:val="26"/>
                <w:lang w:eastAsia="ko-KR"/>
              </w:rPr>
              <w:t xml:space="preserve"> </w:t>
            </w:r>
            <w:proofErr w:type="spellStart"/>
            <w:r w:rsidRPr="003C65AD">
              <w:rPr>
                <w:rFonts w:ascii="한컴바탕" w:eastAsia="한컴바탕" w:hAnsi="한컴바탕" w:cs="한컴바탕" w:hint="eastAsia"/>
                <w:b/>
                <w:sz w:val="26"/>
                <w:szCs w:val="26"/>
                <w:lang w:eastAsia="ko-KR"/>
              </w:rPr>
              <w:t>몇가지</w:t>
            </w:r>
            <w:proofErr w:type="spellEnd"/>
            <w:r w:rsidRPr="003C65AD">
              <w:rPr>
                <w:rFonts w:ascii="한컴바탕" w:eastAsia="한컴바탕" w:hAnsi="한컴바탕" w:cs="한컴바탕"/>
                <w:b/>
                <w:sz w:val="26"/>
                <w:szCs w:val="26"/>
                <w:lang w:eastAsia="ko-KR"/>
              </w:rPr>
              <w:t xml:space="preserve"> </w:t>
            </w:r>
            <w:r w:rsidRPr="003C65AD">
              <w:rPr>
                <w:rFonts w:ascii="한컴바탕" w:eastAsia="한컴바탕" w:hAnsi="한컴바탕" w:cs="한컴바탕" w:hint="eastAsia"/>
                <w:b/>
                <w:sz w:val="26"/>
                <w:szCs w:val="26"/>
                <w:lang w:eastAsia="ko-KR"/>
              </w:rPr>
              <w:t>문제에</w:t>
            </w:r>
            <w:r w:rsidRPr="003C65AD">
              <w:rPr>
                <w:rFonts w:ascii="한컴바탕" w:eastAsia="한컴바탕" w:hAnsi="한컴바탕" w:cs="한컴바탕"/>
                <w:b/>
                <w:sz w:val="26"/>
                <w:szCs w:val="26"/>
                <w:lang w:eastAsia="ko-KR"/>
              </w:rPr>
              <w:t xml:space="preserve"> </w:t>
            </w:r>
          </w:p>
          <w:p w:rsidR="003C65AD" w:rsidRPr="003C65AD" w:rsidRDefault="003C65AD" w:rsidP="003C65AD">
            <w:pPr>
              <w:wordWrap w:val="0"/>
              <w:autoSpaceDN w:val="0"/>
              <w:spacing w:line="290" w:lineRule="atLeast"/>
              <w:jc w:val="center"/>
              <w:rPr>
                <w:rFonts w:ascii="한컴바탕" w:eastAsia="한컴바탕" w:hAnsi="한컴바탕" w:cs="한컴바탕"/>
                <w:b/>
                <w:sz w:val="26"/>
                <w:szCs w:val="26"/>
                <w:lang w:eastAsia="ko-KR"/>
              </w:rPr>
            </w:pPr>
            <w:r w:rsidRPr="003C65AD">
              <w:rPr>
                <w:rFonts w:ascii="한컴바탕" w:eastAsia="한컴바탕" w:hAnsi="한컴바탕" w:cs="한컴바탕" w:hint="eastAsia"/>
                <w:b/>
                <w:sz w:val="26"/>
                <w:szCs w:val="26"/>
                <w:lang w:eastAsia="ko-KR"/>
              </w:rPr>
              <w:t>대한</w:t>
            </w:r>
            <w:r w:rsidRPr="003C65AD">
              <w:rPr>
                <w:rFonts w:ascii="한컴바탕" w:eastAsia="한컴바탕" w:hAnsi="한컴바탕" w:cs="한컴바탕"/>
                <w:b/>
                <w:sz w:val="26"/>
                <w:szCs w:val="26"/>
                <w:lang w:eastAsia="ko-KR"/>
              </w:rPr>
              <w:t xml:space="preserve"> </w:t>
            </w:r>
            <w:r w:rsidRPr="003C65AD">
              <w:rPr>
                <w:rFonts w:ascii="한컴바탕" w:eastAsia="한컴바탕" w:hAnsi="한컴바탕" w:cs="한컴바탕" w:hint="eastAsia"/>
                <w:b/>
                <w:sz w:val="26"/>
                <w:szCs w:val="26"/>
                <w:lang w:eastAsia="ko-KR"/>
              </w:rPr>
              <w:t>국가세무총국의</w:t>
            </w:r>
            <w:r w:rsidRPr="003C65AD">
              <w:rPr>
                <w:rFonts w:ascii="한컴바탕" w:eastAsia="한컴바탕" w:hAnsi="한컴바탕" w:cs="한컴바탕"/>
                <w:b/>
                <w:sz w:val="26"/>
                <w:szCs w:val="26"/>
                <w:lang w:eastAsia="ko-KR"/>
              </w:rPr>
              <w:t xml:space="preserve"> </w:t>
            </w:r>
            <w:r w:rsidRPr="003C65AD">
              <w:rPr>
                <w:rFonts w:ascii="한컴바탕" w:eastAsia="한컴바탕" w:hAnsi="한컴바탕" w:cs="한컴바탕" w:hint="eastAsia"/>
                <w:b/>
                <w:sz w:val="26"/>
                <w:szCs w:val="26"/>
                <w:lang w:eastAsia="ko-KR"/>
              </w:rPr>
              <w:t>공고</w:t>
            </w:r>
          </w:p>
          <w:p w:rsidR="003C65AD" w:rsidRPr="003C65AD" w:rsidRDefault="003C65AD" w:rsidP="003C65AD">
            <w:pPr>
              <w:wordWrap w:val="0"/>
              <w:autoSpaceDN w:val="0"/>
              <w:spacing w:line="290" w:lineRule="atLeast"/>
              <w:jc w:val="center"/>
              <w:rPr>
                <w:rFonts w:ascii="한컴바탕" w:eastAsia="한컴바탕" w:hAnsi="한컴바탕" w:cs="한컴바탕"/>
                <w:szCs w:val="21"/>
                <w:lang w:eastAsia="ko-KR"/>
              </w:rPr>
            </w:pPr>
            <w:r w:rsidRPr="003C65AD">
              <w:rPr>
                <w:rFonts w:ascii="한컴바탕" w:eastAsia="한컴바탕" w:hAnsi="한컴바탕" w:cs="한컴바탕" w:hint="eastAsia"/>
                <w:szCs w:val="21"/>
                <w:lang w:eastAsia="ko-KR"/>
              </w:rPr>
              <w:t>국가세무총국공고 2015년 제48호</w:t>
            </w:r>
          </w:p>
          <w:p w:rsidR="003C65AD" w:rsidRPr="003C65AD" w:rsidRDefault="003C65AD" w:rsidP="003C65AD">
            <w:pPr>
              <w:wordWrap w:val="0"/>
              <w:autoSpaceDN w:val="0"/>
              <w:spacing w:line="290" w:lineRule="atLeast"/>
              <w:ind w:firstLineChars="200" w:firstLine="420"/>
              <w:rPr>
                <w:rFonts w:ascii="한컴바탕" w:eastAsia="한컴바탕" w:hAnsi="한컴바탕" w:cs="한컴바탕"/>
                <w:szCs w:val="21"/>
                <w:lang w:eastAsia="ko-KR"/>
              </w:rPr>
            </w:pPr>
          </w:p>
          <w:p w:rsidR="003C65AD" w:rsidRDefault="003C65AD" w:rsidP="003C65AD">
            <w:pPr>
              <w:wordWrap w:val="0"/>
              <w:autoSpaceDN w:val="0"/>
              <w:spacing w:line="290" w:lineRule="atLeast"/>
              <w:ind w:firstLineChars="200" w:firstLine="420"/>
              <w:rPr>
                <w:rFonts w:ascii="한컴바탕" w:eastAsia="한컴바탕" w:hAnsi="한컴바탕" w:cs="한컴바탕" w:hint="eastAsia"/>
                <w:szCs w:val="21"/>
              </w:rPr>
            </w:pPr>
            <w:r w:rsidRPr="003C65AD">
              <w:rPr>
                <w:rFonts w:ascii="한컴바탕" w:eastAsia="한컴바탕" w:hAnsi="한컴바탕" w:cs="한컴바탕" w:hint="eastAsia"/>
                <w:szCs w:val="21"/>
                <w:lang w:eastAsia="ko-KR"/>
              </w:rPr>
              <w:t>&lt;중화인민공화국 기업소득세법&gt; 및 그 실시조례, &lt;중화인민공화국 조세징수관리법&gt; 및 그 실시세칙, &lt;비(非)행정허가 심사비준 사항 취소에 관한 국무원의 결정&gt;(</w:t>
            </w:r>
            <w:proofErr w:type="spellStart"/>
            <w:r w:rsidRPr="003C65AD">
              <w:rPr>
                <w:rFonts w:ascii="한컴바탕" w:eastAsia="한컴바탕" w:hAnsi="한컴바탕" w:cs="한컴바탕" w:hint="eastAsia"/>
                <w:szCs w:val="21"/>
                <w:lang w:eastAsia="ko-KR"/>
              </w:rPr>
              <w:t>국발</w:t>
            </w:r>
            <w:proofErr w:type="spellEnd"/>
            <w:r w:rsidRPr="003C65AD">
              <w:rPr>
                <w:rFonts w:ascii="한컴바탕" w:eastAsia="한컴바탕" w:hAnsi="한컴바탕" w:cs="한컴바탕" w:hint="eastAsia"/>
                <w:szCs w:val="21"/>
                <w:lang w:eastAsia="ko-KR"/>
              </w:rPr>
              <w:t xml:space="preserve">[2015]27호), &lt;기업 구조조정 업무의 기업소득세 처리 관련 </w:t>
            </w:r>
            <w:proofErr w:type="spellStart"/>
            <w:r w:rsidRPr="003C65AD">
              <w:rPr>
                <w:rFonts w:ascii="한컴바탕" w:eastAsia="한컴바탕" w:hAnsi="한컴바탕" w:cs="한컴바탕" w:hint="eastAsia"/>
                <w:szCs w:val="21"/>
                <w:lang w:eastAsia="ko-KR"/>
              </w:rPr>
              <w:t>몇가지</w:t>
            </w:r>
            <w:proofErr w:type="spellEnd"/>
            <w:r w:rsidRPr="003C65AD">
              <w:rPr>
                <w:rFonts w:ascii="한컴바탕" w:eastAsia="한컴바탕" w:hAnsi="한컴바탕" w:cs="한컴바탕" w:hint="eastAsia"/>
                <w:szCs w:val="21"/>
                <w:lang w:eastAsia="ko-KR"/>
              </w:rPr>
              <w:t xml:space="preserve"> 문제에 대한 </w:t>
            </w:r>
            <w:proofErr w:type="spellStart"/>
            <w:r w:rsidRPr="003C65AD">
              <w:rPr>
                <w:rFonts w:ascii="한컴바탕" w:eastAsia="한컴바탕" w:hAnsi="한컴바탕" w:cs="한컴바탕" w:hint="eastAsia"/>
                <w:szCs w:val="21"/>
                <w:lang w:eastAsia="ko-KR"/>
              </w:rPr>
              <w:t>재정부</w:t>
            </w:r>
            <w:proofErr w:type="spellEnd"/>
            <w:r w:rsidRPr="003C65AD">
              <w:rPr>
                <w:rFonts w:ascii="한컴바탕" w:eastAsia="한컴바탕" w:hAnsi="한컴바탕" w:cs="한컴바탕" w:hint="eastAsia"/>
                <w:szCs w:val="21"/>
                <w:lang w:eastAsia="ko-KR"/>
              </w:rPr>
              <w:t xml:space="preserve">·국가세무총국의 통지&gt;(재세[2009]59호) 및 &lt;기업 구조조정의 기업소득세 처리 관련 문제에 대한 </w:t>
            </w:r>
            <w:proofErr w:type="spellStart"/>
            <w:r w:rsidRPr="003C65AD">
              <w:rPr>
                <w:rFonts w:ascii="한컴바탕" w:eastAsia="한컴바탕" w:hAnsi="한컴바탕" w:cs="한컴바탕" w:hint="eastAsia"/>
                <w:szCs w:val="21"/>
                <w:lang w:eastAsia="ko-KR"/>
              </w:rPr>
              <w:t>재정부</w:t>
            </w:r>
            <w:proofErr w:type="spellEnd"/>
            <w:r w:rsidRPr="003C65AD">
              <w:rPr>
                <w:rFonts w:ascii="한컴바탕" w:eastAsia="한컴바탕" w:hAnsi="한컴바탕" w:cs="한컴바탕" w:hint="eastAsia"/>
                <w:szCs w:val="21"/>
                <w:lang w:eastAsia="ko-KR"/>
              </w:rPr>
              <w:t xml:space="preserve">·국가세무총국의 통지&gt;(재세[2014]109호) 등 관련 규정에 근거하여 기업 구조조정 업무의 기업소득세 징수 관리 관련 </w:t>
            </w:r>
            <w:proofErr w:type="spellStart"/>
            <w:r w:rsidRPr="003C65AD">
              <w:rPr>
                <w:rFonts w:ascii="한컴바탕" w:eastAsia="한컴바탕" w:hAnsi="한컴바탕" w:cs="한컴바탕" w:hint="eastAsia"/>
                <w:szCs w:val="21"/>
                <w:lang w:eastAsia="ko-KR"/>
              </w:rPr>
              <w:t>몇가지</w:t>
            </w:r>
            <w:proofErr w:type="spellEnd"/>
            <w:r w:rsidRPr="003C65AD">
              <w:rPr>
                <w:rFonts w:ascii="한컴바탕" w:eastAsia="한컴바탕" w:hAnsi="한컴바탕" w:cs="한컴바탕" w:hint="eastAsia"/>
                <w:szCs w:val="21"/>
                <w:lang w:eastAsia="ko-KR"/>
              </w:rPr>
              <w:t xml:space="preserve"> 문제를 다음과 같이 공고한다.</w:t>
            </w:r>
          </w:p>
          <w:p w:rsidR="003C65AD" w:rsidRDefault="003C65AD" w:rsidP="003C65AD">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Pr="003C65AD">
              <w:rPr>
                <w:rFonts w:ascii="한컴바탕" w:eastAsia="한컴바탕" w:hAnsi="한컴바탕" w:cs="한컴바탕" w:hint="eastAsia"/>
                <w:szCs w:val="21"/>
                <w:lang w:eastAsia="ko-KR"/>
              </w:rPr>
              <w:t>정의 유형별로 기업 구조조정의 각 당사자라 함은:</w:t>
            </w:r>
          </w:p>
          <w:p w:rsidR="003C65AD" w:rsidRDefault="003C65AD" w:rsidP="003C65AD">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Pr="003C65AD">
              <w:rPr>
                <w:rFonts w:ascii="한컴바탕" w:eastAsia="한컴바탕" w:hAnsi="한컴바탕" w:cs="한컴바탕" w:hint="eastAsia"/>
                <w:szCs w:val="21"/>
                <w:lang w:eastAsia="ko-KR"/>
              </w:rPr>
              <w:t>사자라 함은 채무자, 채권자를 지칭한다.</w:t>
            </w:r>
          </w:p>
          <w:p w:rsidR="003C65AD" w:rsidRDefault="003C65AD" w:rsidP="003C65AD">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Pr="003C65AD">
              <w:rPr>
                <w:rFonts w:ascii="한컴바탕" w:eastAsia="한컴바탕" w:hAnsi="한컴바탕" w:cs="한컴바탕" w:hint="eastAsia"/>
                <w:szCs w:val="21"/>
                <w:lang w:eastAsia="ko-KR"/>
              </w:rPr>
              <w:t>지분인수의 각 당사자라 함은 양수인, 양도인 및 인수대상기업을 지칭한다.</w:t>
            </w:r>
          </w:p>
          <w:p w:rsidR="003C65AD" w:rsidRDefault="003C65AD" w:rsidP="003C65AD">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Pr="003C65AD">
              <w:rPr>
                <w:rFonts w:ascii="한컴바탕" w:eastAsia="한컴바탕" w:hAnsi="한컴바탕" w:cs="한컴바탕" w:hint="eastAsia"/>
                <w:szCs w:val="21"/>
                <w:lang w:eastAsia="ko-KR"/>
              </w:rPr>
              <w:t>자산인수의 각 당사자라 함은 양수인, 양도인을 지칭한다.</w:t>
            </w:r>
          </w:p>
          <w:p w:rsidR="00B245AA" w:rsidRDefault="003C65AD" w:rsidP="00B245AA">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Pr="003C65AD">
              <w:rPr>
                <w:rFonts w:ascii="한컴바탕" w:eastAsia="한컴바탕" w:hAnsi="한컴바탕" w:cs="한컴바탕" w:hint="eastAsia"/>
                <w:spacing w:val="-6"/>
                <w:szCs w:val="21"/>
                <w:lang w:eastAsia="ko-KR"/>
              </w:rPr>
              <w:t xml:space="preserve">합병의 각 당사자라 함은 합병기업, 합병대상기업 및 합병대상기업의 주주를 지칭한다. </w:t>
            </w:r>
          </w:p>
          <w:p w:rsidR="00B245AA" w:rsidRDefault="00B245AA" w:rsidP="00B245AA">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3C65AD" w:rsidRPr="00B245AA">
              <w:rPr>
                <w:rFonts w:ascii="한컴바탕" w:eastAsia="한컴바탕" w:hAnsi="한컴바탕" w:cs="한컴바탕" w:hint="eastAsia"/>
                <w:spacing w:val="-6"/>
                <w:szCs w:val="21"/>
                <w:lang w:eastAsia="ko-KR"/>
              </w:rPr>
              <w:t>분할의 각 당사자라 함은 분할기업, 분할대상기업 및 분할대상기업의 주주를 지칭한다.</w:t>
            </w:r>
          </w:p>
          <w:p w:rsidR="00B245AA" w:rsidRDefault="003C65AD" w:rsidP="00B245AA">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sidRPr="00B245AA">
              <w:rPr>
                <w:rFonts w:ascii="한컴바탕" w:eastAsia="한컴바탕" w:hAnsi="한컴바탕" w:cs="한컴바탕" w:hint="eastAsia"/>
                <w:spacing w:val="-6"/>
                <w:szCs w:val="21"/>
                <w:lang w:eastAsia="ko-KR"/>
              </w:rPr>
              <w:t>위의 구조조정 거래 중 지분인수 거래의 양도인, 합병 거래의 합병대상기업의 주주 및 분할 거래의 분할대상기업의 주주는 자연인일 수 있다.</w:t>
            </w:r>
          </w:p>
          <w:p w:rsidR="00B245AA" w:rsidRDefault="003C65AD" w:rsidP="00B245AA">
            <w:pPr>
              <w:wordWrap w:val="0"/>
              <w:autoSpaceDN w:val="0"/>
              <w:spacing w:line="290" w:lineRule="atLeast"/>
              <w:ind w:firstLineChars="200" w:firstLine="420"/>
              <w:rPr>
                <w:rFonts w:ascii="한컴바탕" w:eastAsia="한컴바탕" w:hAnsi="한컴바탕" w:cs="한컴바탕" w:hint="eastAsia"/>
                <w:spacing w:val="-6"/>
                <w:szCs w:val="21"/>
                <w:lang w:eastAsia="ko-KR"/>
              </w:rPr>
            </w:pPr>
            <w:r w:rsidRPr="00B245AA">
              <w:rPr>
                <w:rFonts w:ascii="한컴바탕" w:eastAsia="한컴바탕" w:hAnsi="한컴바탕" w:cs="한컴바탕" w:hint="eastAsia"/>
                <w:szCs w:val="21"/>
                <w:lang w:eastAsia="ko-KR"/>
              </w:rPr>
              <w:t>각 당사자들 중의 자연인은 개인소득세 관련 규정에 따라 세무처리를 진행한다.</w:t>
            </w:r>
          </w:p>
          <w:p w:rsidR="00B245AA" w:rsidRDefault="00B245AA" w:rsidP="00B245AA">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2. </w:t>
            </w:r>
            <w:r w:rsidR="003C65AD" w:rsidRPr="00B245AA">
              <w:rPr>
                <w:rFonts w:ascii="한컴바탕" w:eastAsia="한컴바탕" w:hAnsi="한컴바탕" w:cs="한컴바탕" w:hint="eastAsia"/>
                <w:spacing w:val="-8"/>
                <w:szCs w:val="21"/>
                <w:lang w:eastAsia="ko-KR"/>
              </w:rPr>
              <w:t>구조조정의 각 당사자 기업이 특수성 세무처리를 적용(구조조정 업무가 재세[2009]59</w:t>
            </w:r>
            <w:proofErr w:type="spellStart"/>
            <w:r w:rsidR="003C65AD" w:rsidRPr="00B245AA">
              <w:rPr>
                <w:rFonts w:ascii="한컴바탕" w:eastAsia="한컴바탕" w:hAnsi="한컴바탕" w:cs="한컴바탕" w:hint="eastAsia"/>
                <w:spacing w:val="-8"/>
                <w:szCs w:val="21"/>
                <w:lang w:eastAsia="ko-KR"/>
              </w:rPr>
              <w:t>호문건과</w:t>
            </w:r>
            <w:proofErr w:type="spellEnd"/>
            <w:r w:rsidR="003C65AD" w:rsidRPr="00B245AA">
              <w:rPr>
                <w:rFonts w:ascii="한컴바탕" w:eastAsia="한컴바탕" w:hAnsi="한컴바탕" w:cs="한컴바탕" w:hint="eastAsia"/>
                <w:spacing w:val="-8"/>
                <w:szCs w:val="21"/>
                <w:lang w:eastAsia="ko-KR"/>
              </w:rPr>
              <w:t xml:space="preserve"> 재세[2014]109호 문건의 제1조, 제2조에 규정한 조건을 만족시키며 특수성 세무처리를 선택한 경우를 지칭함. 아래도 이와 동일함.)하는 경우 다음 규정에 따라 구조조정 </w:t>
            </w:r>
            <w:proofErr w:type="spellStart"/>
            <w:r w:rsidR="003C65AD" w:rsidRPr="00B245AA">
              <w:rPr>
                <w:rFonts w:ascii="한컴바탕" w:eastAsia="한컴바탕" w:hAnsi="한컴바탕" w:cs="한컴바탕" w:hint="eastAsia"/>
                <w:spacing w:val="-8"/>
                <w:szCs w:val="21"/>
                <w:lang w:eastAsia="ko-KR"/>
              </w:rPr>
              <w:t>주도측을</w:t>
            </w:r>
            <w:proofErr w:type="spellEnd"/>
            <w:r w:rsidR="003C65AD" w:rsidRPr="00B245AA">
              <w:rPr>
                <w:rFonts w:ascii="한컴바탕" w:eastAsia="한컴바탕" w:hAnsi="한컴바탕" w:cs="한컴바탕" w:hint="eastAsia"/>
                <w:spacing w:val="-8"/>
                <w:szCs w:val="21"/>
                <w:lang w:eastAsia="ko-KR"/>
              </w:rPr>
              <w:t xml:space="preserve"> 확정해야 한다.</w:t>
            </w:r>
          </w:p>
          <w:p w:rsidR="00B245AA" w:rsidRDefault="00B245AA" w:rsidP="00B245AA">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(1) </w:t>
            </w:r>
            <w:r w:rsidR="003C65AD" w:rsidRPr="00B245AA">
              <w:rPr>
                <w:rFonts w:ascii="한컴바탕" w:eastAsia="한컴바탕" w:hAnsi="한컴바탕" w:cs="한컴바탕" w:hint="eastAsia"/>
                <w:szCs w:val="21"/>
                <w:lang w:eastAsia="ko-KR"/>
              </w:rPr>
              <w:t xml:space="preserve">채무구조정의 경우 채무자를 </w:t>
            </w:r>
            <w:proofErr w:type="spellStart"/>
            <w:r w:rsidR="003C65AD" w:rsidRPr="00B245AA">
              <w:rPr>
                <w:rFonts w:ascii="한컴바탕" w:eastAsia="한컴바탕" w:hAnsi="한컴바탕" w:cs="한컴바탕" w:hint="eastAsia"/>
                <w:szCs w:val="21"/>
                <w:lang w:eastAsia="ko-KR"/>
              </w:rPr>
              <w:t>주도측으로</w:t>
            </w:r>
            <w:proofErr w:type="spellEnd"/>
            <w:r w:rsidR="003C65AD" w:rsidRPr="00B245AA">
              <w:rPr>
                <w:rFonts w:ascii="한컴바탕" w:eastAsia="한컴바탕" w:hAnsi="한컴바탕" w:cs="한컴바탕" w:hint="eastAsia"/>
                <w:szCs w:val="21"/>
                <w:lang w:eastAsia="ko-KR"/>
              </w:rPr>
              <w:t xml:space="preserve"> 한다.</w:t>
            </w:r>
          </w:p>
          <w:p w:rsidR="00B245AA" w:rsidRDefault="00B245AA" w:rsidP="00B245AA">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(2) </w:t>
            </w:r>
            <w:r w:rsidR="003C65AD" w:rsidRPr="00B245AA">
              <w:rPr>
                <w:rFonts w:ascii="한컴바탕" w:eastAsia="한컴바탕" w:hAnsi="한컴바탕" w:cs="한컴바탕" w:hint="eastAsia"/>
                <w:spacing w:val="-10"/>
                <w:szCs w:val="21"/>
                <w:lang w:eastAsia="ko-KR"/>
              </w:rPr>
              <w:t xml:space="preserve">지분인수의 경우 지분 양도인을 </w:t>
            </w:r>
            <w:proofErr w:type="spellStart"/>
            <w:r w:rsidR="003C65AD" w:rsidRPr="00B245AA">
              <w:rPr>
                <w:rFonts w:ascii="한컴바탕" w:eastAsia="한컴바탕" w:hAnsi="한컴바탕" w:cs="한컴바탕" w:hint="eastAsia"/>
                <w:spacing w:val="-10"/>
                <w:szCs w:val="21"/>
                <w:lang w:eastAsia="ko-KR"/>
              </w:rPr>
              <w:t>주도측으로</w:t>
            </w:r>
            <w:proofErr w:type="spellEnd"/>
            <w:r w:rsidR="003C65AD" w:rsidRPr="00B245AA">
              <w:rPr>
                <w:rFonts w:ascii="한컴바탕" w:eastAsia="한컴바탕" w:hAnsi="한컴바탕" w:cs="한컴바탕" w:hint="eastAsia"/>
                <w:spacing w:val="-10"/>
                <w:szCs w:val="21"/>
                <w:lang w:eastAsia="ko-KR"/>
              </w:rPr>
              <w:t xml:space="preserve"> 하되 지분 양도인이 </w:t>
            </w:r>
            <w:proofErr w:type="spellStart"/>
            <w:r w:rsidR="003C65AD" w:rsidRPr="00B245AA">
              <w:rPr>
                <w:rFonts w:ascii="한컴바탕" w:eastAsia="한컴바탕" w:hAnsi="한컴바탕" w:cs="한컴바탕" w:hint="eastAsia"/>
                <w:spacing w:val="-10"/>
                <w:szCs w:val="21"/>
                <w:lang w:eastAsia="ko-KR"/>
              </w:rPr>
              <w:t>두명</w:t>
            </w:r>
            <w:proofErr w:type="spellEnd"/>
            <w:r w:rsidR="003C65AD" w:rsidRPr="00B245AA">
              <w:rPr>
                <w:rFonts w:ascii="한컴바탕" w:eastAsia="한컴바탕" w:hAnsi="한컴바탕" w:cs="한컴바탕" w:hint="eastAsia"/>
                <w:spacing w:val="-10"/>
                <w:szCs w:val="21"/>
                <w:lang w:eastAsia="ko-KR"/>
              </w:rPr>
              <w:t xml:space="preserve"> 또는 </w:t>
            </w:r>
            <w:proofErr w:type="spellStart"/>
            <w:r w:rsidR="003C65AD" w:rsidRPr="00B245AA">
              <w:rPr>
                <w:rFonts w:ascii="한컴바탕" w:eastAsia="한컴바탕" w:hAnsi="한컴바탕" w:cs="한컴바탕" w:hint="eastAsia"/>
                <w:spacing w:val="-10"/>
                <w:szCs w:val="21"/>
                <w:lang w:eastAsia="ko-KR"/>
              </w:rPr>
              <w:t>두명</w:t>
            </w:r>
            <w:proofErr w:type="spellEnd"/>
            <w:r w:rsidR="003C65AD" w:rsidRPr="00B245AA">
              <w:rPr>
                <w:rFonts w:ascii="한컴바탕" w:eastAsia="한컴바탕" w:hAnsi="한컴바탕" w:cs="한컴바탕" w:hint="eastAsia"/>
                <w:spacing w:val="-10"/>
                <w:szCs w:val="21"/>
                <w:lang w:eastAsia="ko-KR"/>
              </w:rPr>
              <w:t xml:space="preserve"> 이상인 경우에는 인수대상기업의 지분을 가장 많이 양도하는 양도</w:t>
            </w:r>
            <w:r w:rsidR="003C65AD" w:rsidRPr="00B245AA">
              <w:rPr>
                <w:rFonts w:ascii="한컴바탕" w:eastAsia="한컴바탕" w:hAnsi="한컴바탕" w:cs="한컴바탕" w:hint="eastAsia"/>
                <w:spacing w:val="-10"/>
                <w:szCs w:val="21"/>
                <w:lang w:eastAsia="ko-KR"/>
              </w:rPr>
              <w:lastRenderedPageBreak/>
              <w:t xml:space="preserve">인을 </w:t>
            </w:r>
            <w:proofErr w:type="spellStart"/>
            <w:r w:rsidR="003C65AD" w:rsidRPr="00B245AA">
              <w:rPr>
                <w:rFonts w:ascii="한컴바탕" w:eastAsia="한컴바탕" w:hAnsi="한컴바탕" w:cs="한컴바탕" w:hint="eastAsia"/>
                <w:spacing w:val="-10"/>
                <w:szCs w:val="21"/>
                <w:lang w:eastAsia="ko-KR"/>
              </w:rPr>
              <w:t>주도측으로</w:t>
            </w:r>
            <w:proofErr w:type="spellEnd"/>
            <w:r w:rsidR="003C65AD" w:rsidRPr="00B245AA">
              <w:rPr>
                <w:rFonts w:ascii="한컴바탕" w:eastAsia="한컴바탕" w:hAnsi="한컴바탕" w:cs="한컴바탕" w:hint="eastAsia"/>
                <w:spacing w:val="-10"/>
                <w:szCs w:val="21"/>
                <w:lang w:eastAsia="ko-KR"/>
              </w:rPr>
              <w:t xml:space="preserve"> 한다(양도하는 지분 비율이 동일한 경우 협상을 통하여 </w:t>
            </w:r>
            <w:proofErr w:type="spellStart"/>
            <w:r w:rsidR="003C65AD" w:rsidRPr="00B245AA">
              <w:rPr>
                <w:rFonts w:ascii="한컴바탕" w:eastAsia="한컴바탕" w:hAnsi="한컴바탕" w:cs="한컴바탕" w:hint="eastAsia"/>
                <w:spacing w:val="-10"/>
                <w:szCs w:val="21"/>
                <w:lang w:eastAsia="ko-KR"/>
              </w:rPr>
              <w:t>주도측을</w:t>
            </w:r>
            <w:proofErr w:type="spellEnd"/>
            <w:r w:rsidR="003C65AD" w:rsidRPr="00B245AA">
              <w:rPr>
                <w:rFonts w:ascii="한컴바탕" w:eastAsia="한컴바탕" w:hAnsi="한컴바탕" w:cs="한컴바탕" w:hint="eastAsia"/>
                <w:spacing w:val="-10"/>
                <w:szCs w:val="21"/>
                <w:lang w:eastAsia="ko-KR"/>
              </w:rPr>
              <w:t xml:space="preserve"> 확정할 수 있다.).</w:t>
            </w:r>
            <w:r w:rsidR="003C65AD" w:rsidRPr="00B245AA">
              <w:rPr>
                <w:rFonts w:ascii="한컴바탕" w:eastAsia="한컴바탕" w:hAnsi="한컴바탕" w:cs="한컴바탕" w:hint="eastAsia"/>
                <w:szCs w:val="21"/>
                <w:lang w:eastAsia="ko-KR"/>
              </w:rPr>
              <w:t xml:space="preserve"> </w:t>
            </w:r>
          </w:p>
          <w:p w:rsidR="00B245AA" w:rsidRDefault="00B245AA" w:rsidP="00B245AA">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(3) </w:t>
            </w:r>
            <w:r w:rsidR="003C65AD" w:rsidRPr="00B245AA">
              <w:rPr>
                <w:rFonts w:ascii="한컴바탕" w:eastAsia="한컴바탕" w:hAnsi="한컴바탕" w:cs="한컴바탕" w:hint="eastAsia"/>
                <w:szCs w:val="21"/>
                <w:lang w:eastAsia="ko-KR"/>
              </w:rPr>
              <w:t xml:space="preserve">자산인수의 경우 자산 양도인을 </w:t>
            </w:r>
            <w:proofErr w:type="spellStart"/>
            <w:r w:rsidR="003C65AD" w:rsidRPr="00B245AA">
              <w:rPr>
                <w:rFonts w:ascii="한컴바탕" w:eastAsia="한컴바탕" w:hAnsi="한컴바탕" w:cs="한컴바탕" w:hint="eastAsia"/>
                <w:szCs w:val="21"/>
                <w:lang w:eastAsia="ko-KR"/>
              </w:rPr>
              <w:t>주도측으로</w:t>
            </w:r>
            <w:proofErr w:type="spellEnd"/>
            <w:r w:rsidR="003C65AD" w:rsidRPr="00B245AA">
              <w:rPr>
                <w:rFonts w:ascii="한컴바탕" w:eastAsia="한컴바탕" w:hAnsi="한컴바탕" w:cs="한컴바탕" w:hint="eastAsia"/>
                <w:szCs w:val="21"/>
                <w:lang w:eastAsia="ko-KR"/>
              </w:rPr>
              <w:t xml:space="preserve"> 한다.</w:t>
            </w:r>
          </w:p>
          <w:p w:rsidR="00B245AA" w:rsidRDefault="00B245AA" w:rsidP="00B245AA">
            <w:pPr>
              <w:wordWrap w:val="0"/>
              <w:autoSpaceDN w:val="0"/>
              <w:spacing w:line="290" w:lineRule="atLeast"/>
              <w:ind w:firstLineChars="200" w:firstLine="396"/>
              <w:rPr>
                <w:rFonts w:ascii="한컴바탕" w:eastAsia="한컴바탕" w:hAnsi="한컴바탕" w:cs="한컴바탕" w:hint="eastAsia"/>
                <w:szCs w:val="21"/>
                <w:lang w:eastAsia="ko-KR"/>
              </w:rPr>
            </w:pPr>
            <w:r>
              <w:rPr>
                <w:rFonts w:ascii="한컴바탕" w:eastAsia="한컴바탕" w:hAnsi="한컴바탕" w:cs="한컴바탕" w:hint="eastAsia"/>
                <w:spacing w:val="-6"/>
                <w:szCs w:val="21"/>
                <w:lang w:eastAsia="ko-KR"/>
              </w:rPr>
              <w:t xml:space="preserve">(4) </w:t>
            </w:r>
            <w:r w:rsidR="003C65AD" w:rsidRPr="00B245AA">
              <w:rPr>
                <w:rFonts w:ascii="한컴바탕" w:eastAsia="한컴바탕" w:hAnsi="한컴바탕" w:cs="한컴바탕" w:hint="eastAsia"/>
                <w:szCs w:val="21"/>
                <w:lang w:eastAsia="ko-KR"/>
              </w:rPr>
              <w:t xml:space="preserve">합병의 경우 합병대상기업을 </w:t>
            </w:r>
            <w:proofErr w:type="spellStart"/>
            <w:r w:rsidR="003C65AD" w:rsidRPr="00B245AA">
              <w:rPr>
                <w:rFonts w:ascii="한컴바탕" w:eastAsia="한컴바탕" w:hAnsi="한컴바탕" w:cs="한컴바탕" w:hint="eastAsia"/>
                <w:szCs w:val="21"/>
                <w:lang w:eastAsia="ko-KR"/>
              </w:rPr>
              <w:t>주도측으로</w:t>
            </w:r>
            <w:proofErr w:type="spellEnd"/>
            <w:r w:rsidR="003C65AD" w:rsidRPr="00B245AA">
              <w:rPr>
                <w:rFonts w:ascii="한컴바탕" w:eastAsia="한컴바탕" w:hAnsi="한컴바탕" w:cs="한컴바탕" w:hint="eastAsia"/>
                <w:szCs w:val="21"/>
                <w:lang w:eastAsia="ko-KR"/>
              </w:rPr>
              <w:t xml:space="preserve"> 하되 동일 통제인의 통제를 받는 </w:t>
            </w:r>
            <w:proofErr w:type="spellStart"/>
            <w:r w:rsidR="003C65AD" w:rsidRPr="00B245AA">
              <w:rPr>
                <w:rFonts w:ascii="한컴바탕" w:eastAsia="한컴바탕" w:hAnsi="한컴바탕" w:cs="한컴바탕" w:hint="eastAsia"/>
                <w:szCs w:val="21"/>
                <w:lang w:eastAsia="ko-KR"/>
              </w:rPr>
              <w:t>여러개의</w:t>
            </w:r>
            <w:proofErr w:type="spellEnd"/>
            <w:r w:rsidR="003C65AD" w:rsidRPr="00B245AA">
              <w:rPr>
                <w:rFonts w:ascii="한컴바탕" w:eastAsia="한컴바탕" w:hAnsi="한컴바탕" w:cs="한컴바탕" w:hint="eastAsia"/>
                <w:szCs w:val="21"/>
                <w:lang w:eastAsia="ko-KR"/>
              </w:rPr>
              <w:t xml:space="preserve"> 대상기업을 합병하는 경우 순자산 규모가 가장 큰 일방 당사자를 </w:t>
            </w:r>
            <w:proofErr w:type="spellStart"/>
            <w:r w:rsidR="003C65AD" w:rsidRPr="00B245AA">
              <w:rPr>
                <w:rFonts w:ascii="한컴바탕" w:eastAsia="한컴바탕" w:hAnsi="한컴바탕" w:cs="한컴바탕" w:hint="eastAsia"/>
                <w:szCs w:val="21"/>
                <w:lang w:eastAsia="ko-KR"/>
              </w:rPr>
              <w:t>주도측으로</w:t>
            </w:r>
            <w:proofErr w:type="spellEnd"/>
            <w:r w:rsidR="003C65AD" w:rsidRPr="00B245AA">
              <w:rPr>
                <w:rFonts w:ascii="한컴바탕" w:eastAsia="한컴바탕" w:hAnsi="한컴바탕" w:cs="한컴바탕" w:hint="eastAsia"/>
                <w:szCs w:val="21"/>
                <w:lang w:eastAsia="ko-KR"/>
              </w:rPr>
              <w:t xml:space="preserve"> 한다.</w:t>
            </w:r>
          </w:p>
          <w:p w:rsidR="00B245AA" w:rsidRDefault="00B245AA" w:rsidP="00B245AA">
            <w:pPr>
              <w:wordWrap w:val="0"/>
              <w:autoSpaceDN w:val="0"/>
              <w:spacing w:line="290" w:lineRule="atLeast"/>
              <w:ind w:firstLineChars="200" w:firstLine="420"/>
              <w:rPr>
                <w:rFonts w:ascii="한컴바탕" w:eastAsia="한컴바탕" w:hAnsi="한컴바탕" w:cs="한컴바탕" w:hint="eastAsia"/>
                <w:spacing w:val="-6"/>
                <w:szCs w:val="21"/>
                <w:lang w:eastAsia="ko-KR"/>
              </w:rPr>
            </w:pPr>
            <w:r>
              <w:rPr>
                <w:rFonts w:ascii="한컴바탕" w:eastAsia="한컴바탕" w:hAnsi="한컴바탕" w:cs="한컴바탕" w:hint="eastAsia"/>
                <w:szCs w:val="21"/>
                <w:lang w:eastAsia="ko-KR"/>
              </w:rPr>
              <w:t xml:space="preserve">(5) </w:t>
            </w:r>
            <w:r w:rsidR="003C65AD" w:rsidRPr="00B245AA">
              <w:rPr>
                <w:rFonts w:ascii="한컴바탕" w:eastAsia="한컴바탕" w:hAnsi="한컴바탕" w:cs="한컴바탕" w:hint="eastAsia"/>
                <w:szCs w:val="21"/>
                <w:lang w:eastAsia="ko-KR"/>
              </w:rPr>
              <w:t xml:space="preserve">분할의 경우 분할대상기업을 </w:t>
            </w:r>
            <w:proofErr w:type="spellStart"/>
            <w:r w:rsidR="003C65AD" w:rsidRPr="00B245AA">
              <w:rPr>
                <w:rFonts w:ascii="한컴바탕" w:eastAsia="한컴바탕" w:hAnsi="한컴바탕" w:cs="한컴바탕" w:hint="eastAsia"/>
                <w:szCs w:val="21"/>
                <w:lang w:eastAsia="ko-KR"/>
              </w:rPr>
              <w:t>주도측으로</w:t>
            </w:r>
            <w:proofErr w:type="spellEnd"/>
            <w:r w:rsidR="003C65AD" w:rsidRPr="00B245AA">
              <w:rPr>
                <w:rFonts w:ascii="한컴바탕" w:eastAsia="한컴바탕" w:hAnsi="한컴바탕" w:cs="한컴바탕" w:hint="eastAsia"/>
                <w:szCs w:val="21"/>
                <w:lang w:eastAsia="ko-KR"/>
              </w:rPr>
              <w:t xml:space="preserve"> 한다.</w:t>
            </w:r>
          </w:p>
          <w:p w:rsidR="00B245AA" w:rsidRDefault="00B245AA" w:rsidP="00B245AA">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3. </w:t>
            </w:r>
            <w:r w:rsidR="003C65AD" w:rsidRPr="00B245AA">
              <w:rPr>
                <w:rFonts w:ascii="한컴바탕" w:eastAsia="한컴바탕" w:hAnsi="한컴바탕" w:cs="한컴바탕" w:hint="eastAsia"/>
                <w:szCs w:val="21"/>
                <w:lang w:eastAsia="ko-KR"/>
              </w:rPr>
              <w:t xml:space="preserve">재세[2009]59호 문건 제11조에서의 구조조정 업무 완성연도라 함은 </w:t>
            </w:r>
            <w:proofErr w:type="spellStart"/>
            <w:r w:rsidR="003C65AD" w:rsidRPr="00B245AA">
              <w:rPr>
                <w:rFonts w:ascii="한컴바탕" w:eastAsia="한컴바탕" w:hAnsi="한컴바탕" w:cs="한컴바탕" w:hint="eastAsia"/>
                <w:szCs w:val="21"/>
                <w:lang w:eastAsia="ko-KR"/>
              </w:rPr>
              <w:t>구조조정일이</w:t>
            </w:r>
            <w:proofErr w:type="spellEnd"/>
            <w:r w:rsidR="003C65AD" w:rsidRPr="00B245AA">
              <w:rPr>
                <w:rFonts w:ascii="한컴바탕" w:eastAsia="한컴바탕" w:hAnsi="한컴바탕" w:cs="한컴바탕" w:hint="eastAsia"/>
                <w:szCs w:val="21"/>
                <w:lang w:eastAsia="ko-KR"/>
              </w:rPr>
              <w:t xml:space="preserve"> 소속된 기업소득세 납세연도를 지칭한다.</w:t>
            </w:r>
          </w:p>
          <w:p w:rsidR="00B245AA" w:rsidRDefault="003C65AD" w:rsidP="00B245AA">
            <w:pPr>
              <w:wordWrap w:val="0"/>
              <w:autoSpaceDN w:val="0"/>
              <w:spacing w:line="290" w:lineRule="atLeast"/>
              <w:ind w:firstLineChars="200" w:firstLine="420"/>
              <w:rPr>
                <w:rFonts w:ascii="한컴바탕" w:eastAsia="한컴바탕" w:hAnsi="한컴바탕" w:cs="한컴바탕" w:hint="eastAsia"/>
                <w:spacing w:val="-6"/>
                <w:szCs w:val="21"/>
                <w:lang w:eastAsia="ko-KR"/>
              </w:rPr>
            </w:pPr>
            <w:r w:rsidRPr="00B245AA">
              <w:rPr>
                <w:rFonts w:ascii="한컴바탕" w:eastAsia="한컴바탕" w:hAnsi="한컴바탕" w:cs="한컴바탕" w:hint="eastAsia"/>
                <w:szCs w:val="21"/>
                <w:lang w:eastAsia="ko-KR"/>
              </w:rPr>
              <w:t xml:space="preserve">기업 </w:t>
            </w:r>
            <w:proofErr w:type="spellStart"/>
            <w:r w:rsidRPr="00B245AA">
              <w:rPr>
                <w:rFonts w:ascii="한컴바탕" w:eastAsia="한컴바탕" w:hAnsi="한컴바탕" w:cs="한컴바탕" w:hint="eastAsia"/>
                <w:szCs w:val="21"/>
                <w:lang w:eastAsia="ko-KR"/>
              </w:rPr>
              <w:t>구조조정일의</w:t>
            </w:r>
            <w:proofErr w:type="spellEnd"/>
            <w:r w:rsidRPr="00B245AA">
              <w:rPr>
                <w:rFonts w:ascii="한컴바탕" w:eastAsia="한컴바탕" w:hAnsi="한컴바탕" w:cs="한컴바탕" w:hint="eastAsia"/>
                <w:szCs w:val="21"/>
                <w:lang w:eastAsia="ko-KR"/>
              </w:rPr>
              <w:t xml:space="preserve"> 확정은 다음 규정에 따라 처리한다.</w:t>
            </w:r>
          </w:p>
          <w:p w:rsidR="00B245AA" w:rsidRDefault="00B245AA" w:rsidP="00B245AA">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(1) </w:t>
            </w:r>
            <w:r w:rsidR="003C65AD" w:rsidRPr="00B245AA">
              <w:rPr>
                <w:rFonts w:ascii="한컴바탕" w:eastAsia="한컴바탕" w:hAnsi="한컴바탕" w:cs="한컴바탕" w:hint="eastAsia"/>
                <w:spacing w:val="-12"/>
                <w:szCs w:val="21"/>
                <w:lang w:eastAsia="ko-KR"/>
              </w:rPr>
              <w:t>채무구조정의 경우 채무구조조정계약(협약) 또는 법원 재정서의 효력발생일을 구조조정일로 한다.</w:t>
            </w:r>
          </w:p>
          <w:p w:rsidR="00B245AA" w:rsidRDefault="00B245AA" w:rsidP="00B245AA">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(2) </w:t>
            </w:r>
            <w:r w:rsidR="003C65AD" w:rsidRPr="00B245AA">
              <w:rPr>
                <w:rFonts w:ascii="한컴바탕" w:eastAsia="한컴바탕" w:hAnsi="한컴바탕" w:cs="한컴바탕" w:hint="eastAsia"/>
                <w:spacing w:val="-8"/>
                <w:szCs w:val="21"/>
                <w:lang w:eastAsia="ko-KR"/>
              </w:rPr>
              <w:t xml:space="preserve">지분인수의 경우 </w:t>
            </w:r>
            <w:proofErr w:type="spellStart"/>
            <w:r w:rsidR="003C65AD" w:rsidRPr="00B245AA">
              <w:rPr>
                <w:rFonts w:ascii="한컴바탕" w:eastAsia="한컴바탕" w:hAnsi="한컴바탕" w:cs="한컴바탕" w:hint="eastAsia"/>
                <w:spacing w:val="-8"/>
                <w:szCs w:val="21"/>
                <w:lang w:eastAsia="ko-KR"/>
              </w:rPr>
              <w:t>지분양수도계약</w:t>
            </w:r>
            <w:proofErr w:type="spellEnd"/>
            <w:r w:rsidR="003C65AD" w:rsidRPr="00B245AA">
              <w:rPr>
                <w:rFonts w:ascii="한컴바탕" w:eastAsia="한컴바탕" w:hAnsi="한컴바탕" w:cs="한컴바탕" w:hint="eastAsia"/>
                <w:spacing w:val="-8"/>
                <w:szCs w:val="21"/>
                <w:lang w:eastAsia="ko-KR"/>
              </w:rPr>
              <w:t xml:space="preserve">(협약)이 효력을 발생하였고 지분변경 수속이 완성된 일자를 구조조정일로 한다. 관련기업간 지분인수 시 </w:t>
            </w:r>
            <w:proofErr w:type="spellStart"/>
            <w:r w:rsidR="003C65AD" w:rsidRPr="00B245AA">
              <w:rPr>
                <w:rFonts w:ascii="한컴바탕" w:eastAsia="한컴바탕" w:hAnsi="한컴바탕" w:cs="한컴바탕" w:hint="eastAsia"/>
                <w:spacing w:val="-8"/>
                <w:szCs w:val="21"/>
                <w:lang w:eastAsia="ko-KR"/>
              </w:rPr>
              <w:t>지분양수도계약</w:t>
            </w:r>
            <w:proofErr w:type="spellEnd"/>
            <w:r w:rsidR="003C65AD" w:rsidRPr="00B245AA">
              <w:rPr>
                <w:rFonts w:ascii="한컴바탕" w:eastAsia="한컴바탕" w:hAnsi="한컴바탕" w:cs="한컴바탕" w:hint="eastAsia"/>
                <w:spacing w:val="-8"/>
                <w:szCs w:val="21"/>
                <w:lang w:eastAsia="ko-KR"/>
              </w:rPr>
              <w:t xml:space="preserve">(협약)이 효력을 발생한 후 12개월 내에 지분변경 수속이 완료되지 못한 경우 </w:t>
            </w:r>
            <w:proofErr w:type="spellStart"/>
            <w:r w:rsidR="003C65AD" w:rsidRPr="00B245AA">
              <w:rPr>
                <w:rFonts w:ascii="한컴바탕" w:eastAsia="한컴바탕" w:hAnsi="한컴바탕" w:cs="한컴바탕" w:hint="eastAsia"/>
                <w:spacing w:val="-8"/>
                <w:szCs w:val="21"/>
                <w:lang w:eastAsia="ko-KR"/>
              </w:rPr>
              <w:t>지분양수도계약</w:t>
            </w:r>
            <w:proofErr w:type="spellEnd"/>
            <w:r w:rsidR="003C65AD" w:rsidRPr="00B245AA">
              <w:rPr>
                <w:rFonts w:ascii="한컴바탕" w:eastAsia="한컴바탕" w:hAnsi="한컴바탕" w:cs="한컴바탕" w:hint="eastAsia"/>
                <w:spacing w:val="-8"/>
                <w:szCs w:val="21"/>
                <w:lang w:eastAsia="ko-KR"/>
              </w:rPr>
              <w:t>(협약) 효력발생일을 구조조정일로 해야 한다.</w:t>
            </w:r>
          </w:p>
          <w:p w:rsidR="00B245AA" w:rsidRDefault="00B245AA" w:rsidP="00B245AA">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(3) </w:t>
            </w:r>
            <w:r w:rsidR="003C65AD" w:rsidRPr="00B245AA">
              <w:rPr>
                <w:rFonts w:ascii="한컴바탕" w:eastAsia="한컴바탕" w:hAnsi="한컴바탕" w:cs="한컴바탕" w:hint="eastAsia"/>
                <w:szCs w:val="21"/>
                <w:lang w:eastAsia="ko-KR"/>
              </w:rPr>
              <w:t xml:space="preserve">자산인수의 경우 </w:t>
            </w:r>
            <w:proofErr w:type="spellStart"/>
            <w:r w:rsidR="003C65AD" w:rsidRPr="00B245AA">
              <w:rPr>
                <w:rFonts w:ascii="한컴바탕" w:eastAsia="한컴바탕" w:hAnsi="한컴바탕" w:cs="한컴바탕" w:hint="eastAsia"/>
                <w:szCs w:val="21"/>
                <w:lang w:eastAsia="ko-KR"/>
              </w:rPr>
              <w:t>자산양수도계약</w:t>
            </w:r>
            <w:proofErr w:type="spellEnd"/>
            <w:r w:rsidR="003C65AD" w:rsidRPr="00B245AA">
              <w:rPr>
                <w:rFonts w:ascii="한컴바탕" w:eastAsia="한컴바탕" w:hAnsi="한컴바탕" w:cs="한컴바탕" w:hint="eastAsia"/>
                <w:szCs w:val="21"/>
                <w:lang w:eastAsia="ko-KR"/>
              </w:rPr>
              <w:t>(협약)이 효력을 발생하고 각 당사자가 이미 회계처리를 한 일자를 구조조정일로 한다.</w:t>
            </w:r>
          </w:p>
          <w:p w:rsidR="00B245AA" w:rsidRDefault="00B245AA" w:rsidP="00B245AA">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(4) </w:t>
            </w:r>
            <w:r w:rsidR="003C65AD" w:rsidRPr="00B245AA">
              <w:rPr>
                <w:rFonts w:ascii="한컴바탕" w:eastAsia="한컴바탕" w:hAnsi="한컴바탕" w:cs="한컴바탕" w:hint="eastAsia"/>
                <w:spacing w:val="-6"/>
                <w:szCs w:val="21"/>
                <w:lang w:eastAsia="ko-KR"/>
              </w:rPr>
              <w:t xml:space="preserve">합병의 경우 합병계약(협약)이 효력을 발생하고 각 당사자가 이미 회계처리를 하였으며 공상 신설등기 또는 변경등기를 완성한 일자를 구조조정일로 한다. 규정에 따라 공상 신설등기 또는 변경등기가 </w:t>
            </w:r>
            <w:proofErr w:type="spellStart"/>
            <w:r w:rsidR="003C65AD" w:rsidRPr="00B245AA">
              <w:rPr>
                <w:rFonts w:ascii="한컴바탕" w:eastAsia="한컴바탕" w:hAnsi="한컴바탕" w:cs="한컴바탕" w:hint="eastAsia"/>
                <w:spacing w:val="-6"/>
                <w:szCs w:val="21"/>
                <w:lang w:eastAsia="ko-KR"/>
              </w:rPr>
              <w:t>필요없는</w:t>
            </w:r>
            <w:proofErr w:type="spellEnd"/>
            <w:r w:rsidR="003C65AD" w:rsidRPr="00B245AA">
              <w:rPr>
                <w:rFonts w:ascii="한컴바탕" w:eastAsia="한컴바탕" w:hAnsi="한컴바탕" w:cs="한컴바탕" w:hint="eastAsia"/>
                <w:spacing w:val="-6"/>
                <w:szCs w:val="21"/>
                <w:lang w:eastAsia="ko-KR"/>
              </w:rPr>
              <w:t xml:space="preserve"> 합병의 경우 합병계약(협약)이 효력을 발생하고 각 당사자가 이미 회계처리를 한 일자를 구조조정일로 한다. </w:t>
            </w:r>
          </w:p>
          <w:p w:rsidR="00B245AA" w:rsidRDefault="00B245AA" w:rsidP="00B245AA">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(5) </w:t>
            </w:r>
            <w:r w:rsidR="003C65AD" w:rsidRPr="00B245AA">
              <w:rPr>
                <w:rFonts w:ascii="한컴바탕" w:eastAsia="한컴바탕" w:hAnsi="한컴바탕" w:cs="한컴바탕" w:hint="eastAsia"/>
                <w:szCs w:val="21"/>
                <w:lang w:eastAsia="ko-KR"/>
              </w:rPr>
              <w:t>분할의 경우 분할계약(협약)이 효력을 발생하고 각 당사자가 이미 회계처리를 하였으며 공상 신설등기 또는 변경등기를 완성한 일자를 구조조정일로 한다.</w:t>
            </w:r>
          </w:p>
          <w:p w:rsidR="00B245AA" w:rsidRDefault="00B245AA" w:rsidP="00B245AA">
            <w:pPr>
              <w:wordWrap w:val="0"/>
              <w:autoSpaceDN w:val="0"/>
              <w:spacing w:line="290" w:lineRule="atLeast"/>
              <w:ind w:firstLineChars="200" w:firstLine="396"/>
              <w:rPr>
                <w:rFonts w:ascii="한컴바탕" w:eastAsia="한컴바탕" w:hAnsi="한컴바탕" w:cs="한컴바탕" w:hint="eastAsia"/>
                <w:spacing w:val="-9"/>
                <w:szCs w:val="21"/>
                <w:lang w:eastAsia="ko-KR"/>
              </w:rPr>
            </w:pPr>
            <w:r>
              <w:rPr>
                <w:rFonts w:ascii="한컴바탕" w:eastAsia="한컴바탕" w:hAnsi="한컴바탕" w:cs="한컴바탕" w:hint="eastAsia"/>
                <w:spacing w:val="-6"/>
                <w:szCs w:val="21"/>
                <w:lang w:eastAsia="ko-KR"/>
              </w:rPr>
              <w:t xml:space="preserve">4. </w:t>
            </w:r>
            <w:r w:rsidR="003C65AD" w:rsidRPr="00B245AA">
              <w:rPr>
                <w:rFonts w:ascii="한컴바탕" w:eastAsia="한컴바탕" w:hAnsi="한컴바탕" w:cs="한컴바탕" w:hint="eastAsia"/>
                <w:spacing w:val="-9"/>
                <w:szCs w:val="21"/>
                <w:lang w:eastAsia="ko-KR"/>
              </w:rPr>
              <w:t xml:space="preserve">기업 구조조정 업무에 특수성 세무처리를 적용하는 경우 재세[2009]59호 문건 제4조 제(1)항에 규정한 기업이 단순하게 기타 법률형식으로 변경되는 경우를 제외하고 구조조정 각 당사자는 당해 구조조정 업무 완성연도에 기업소득세 연도 확정신고 시 각각의 관할 세무기관에 &lt;기업 구조조정 소득세 특수성 세무처리 </w:t>
            </w:r>
            <w:proofErr w:type="spellStart"/>
            <w:r w:rsidR="003C65AD" w:rsidRPr="00B245AA">
              <w:rPr>
                <w:rFonts w:ascii="한컴바탕" w:eastAsia="한컴바탕" w:hAnsi="한컴바탕" w:cs="한컴바탕" w:hint="eastAsia"/>
                <w:spacing w:val="-9"/>
                <w:szCs w:val="21"/>
                <w:lang w:eastAsia="ko-KR"/>
              </w:rPr>
              <w:t>보고표</w:t>
            </w:r>
            <w:proofErr w:type="spellEnd"/>
            <w:r w:rsidR="003C65AD" w:rsidRPr="00B245AA">
              <w:rPr>
                <w:rFonts w:ascii="한컴바탕" w:eastAsia="한컴바탕" w:hAnsi="한컴바탕" w:cs="한컴바탕" w:hint="eastAsia"/>
                <w:spacing w:val="-9"/>
                <w:szCs w:val="21"/>
                <w:lang w:eastAsia="ko-KR"/>
              </w:rPr>
              <w:t xml:space="preserve"> 및 별표&gt;(첨부 1 참조)와 신고자료(첨부 2 참조)를 제출해야 한다. 합병, 분할의 일방 당사자가 말소되는 경우 세무말소등기 수속을 이행하기 전에 신고해야 한다.</w:t>
            </w:r>
          </w:p>
          <w:p w:rsidR="00B245AA" w:rsidRDefault="003C65AD" w:rsidP="00B245AA">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sidRPr="00B245AA">
              <w:rPr>
                <w:rFonts w:ascii="한컴바탕" w:eastAsia="한컴바탕" w:hAnsi="한컴바탕" w:cs="한컴바탕" w:hint="eastAsia"/>
                <w:spacing w:val="-10"/>
                <w:szCs w:val="21"/>
                <w:lang w:eastAsia="ko-KR"/>
              </w:rPr>
              <w:t xml:space="preserve">구조조정 </w:t>
            </w:r>
            <w:proofErr w:type="spellStart"/>
            <w:r w:rsidRPr="00B245AA">
              <w:rPr>
                <w:rFonts w:ascii="한컴바탕" w:eastAsia="한컴바탕" w:hAnsi="한컴바탕" w:cs="한컴바탕" w:hint="eastAsia"/>
                <w:spacing w:val="-10"/>
                <w:szCs w:val="21"/>
                <w:lang w:eastAsia="ko-KR"/>
              </w:rPr>
              <w:t>주도측이</w:t>
            </w:r>
            <w:proofErr w:type="spellEnd"/>
            <w:r w:rsidRPr="00B245AA">
              <w:rPr>
                <w:rFonts w:ascii="한컴바탕" w:eastAsia="한컴바탕" w:hAnsi="한컴바탕" w:cs="한컴바탕" w:hint="eastAsia"/>
                <w:spacing w:val="-10"/>
                <w:szCs w:val="21"/>
                <w:lang w:eastAsia="ko-KR"/>
              </w:rPr>
              <w:t xml:space="preserve"> 신고한 이후 기타 당사자가 그 관할 세무기관에서 납세신고 수속을 이행한다. 신고 시 구조조정 </w:t>
            </w:r>
            <w:proofErr w:type="spellStart"/>
            <w:r w:rsidRPr="00B245AA">
              <w:rPr>
                <w:rFonts w:ascii="한컴바탕" w:eastAsia="한컴바탕" w:hAnsi="한컴바탕" w:cs="한컴바탕" w:hint="eastAsia"/>
                <w:spacing w:val="-10"/>
                <w:szCs w:val="21"/>
                <w:lang w:eastAsia="ko-KR"/>
              </w:rPr>
              <w:t>주도측이</w:t>
            </w:r>
            <w:proofErr w:type="spellEnd"/>
            <w:r w:rsidRPr="00B245AA">
              <w:rPr>
                <w:rFonts w:ascii="한컴바탕" w:eastAsia="한컴바탕" w:hAnsi="한컴바탕" w:cs="한컴바탕" w:hint="eastAsia"/>
                <w:spacing w:val="-10"/>
                <w:szCs w:val="21"/>
                <w:lang w:eastAsia="ko-KR"/>
              </w:rPr>
              <w:t xml:space="preserve"> 제출하여 그 관할 세무기관에 의해 접수된 &lt;기업 구조조정 소득세 특수성 세무처리 </w:t>
            </w:r>
            <w:proofErr w:type="spellStart"/>
            <w:r w:rsidRPr="00B245AA">
              <w:rPr>
                <w:rFonts w:ascii="한컴바탕" w:eastAsia="한컴바탕" w:hAnsi="한컴바탕" w:cs="한컴바탕" w:hint="eastAsia"/>
                <w:spacing w:val="-10"/>
                <w:szCs w:val="21"/>
                <w:lang w:eastAsia="ko-KR"/>
              </w:rPr>
              <w:t>보고표</w:t>
            </w:r>
            <w:proofErr w:type="spellEnd"/>
            <w:r w:rsidRPr="00B245AA">
              <w:rPr>
                <w:rFonts w:ascii="한컴바탕" w:eastAsia="한컴바탕" w:hAnsi="한컴바탕" w:cs="한컴바탕" w:hint="eastAsia"/>
                <w:spacing w:val="-10"/>
                <w:szCs w:val="21"/>
                <w:lang w:eastAsia="ko-KR"/>
              </w:rPr>
              <w:t xml:space="preserve"> 및 별표&gt;(복사본)도 제출해야 한다.</w:t>
            </w:r>
          </w:p>
          <w:p w:rsidR="00B245AA" w:rsidRDefault="00B245AA" w:rsidP="00B245AA">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5. </w:t>
            </w:r>
            <w:r w:rsidR="003C65AD" w:rsidRPr="00B245AA">
              <w:rPr>
                <w:rFonts w:ascii="한컴바탕" w:eastAsia="한컴바탕" w:hAnsi="한컴바탕" w:cs="한컴바탕" w:hint="eastAsia"/>
                <w:spacing w:val="-12"/>
                <w:szCs w:val="21"/>
                <w:lang w:eastAsia="ko-KR"/>
              </w:rPr>
              <w:t xml:space="preserve">기업 구조조정 업무에 특수성 세무처리를 적용하는 경우 신고 시 다음 각 호의 </w:t>
            </w:r>
            <w:proofErr w:type="spellStart"/>
            <w:r w:rsidR="003C65AD" w:rsidRPr="00B245AA">
              <w:rPr>
                <w:rFonts w:ascii="한컴바탕" w:eastAsia="한컴바탕" w:hAnsi="한컴바탕" w:cs="한컴바탕" w:hint="eastAsia"/>
                <w:spacing w:val="-12"/>
                <w:szCs w:val="21"/>
                <w:lang w:eastAsia="ko-KR"/>
              </w:rPr>
              <w:t>사항별로</w:t>
            </w:r>
            <w:proofErr w:type="spellEnd"/>
            <w:r w:rsidR="003C65AD" w:rsidRPr="00B245AA">
              <w:rPr>
                <w:rFonts w:ascii="한컴바탕" w:eastAsia="한컴바탕" w:hAnsi="한컴바탕" w:cs="한컴바탕" w:hint="eastAsia"/>
                <w:spacing w:val="-12"/>
                <w:szCs w:val="21"/>
                <w:lang w:eastAsia="ko-KR"/>
              </w:rPr>
              <w:t xml:space="preserve"> 기업 구조조정에 합리적인 상업목적이 있음을 설명해야 한다.</w:t>
            </w:r>
          </w:p>
          <w:p w:rsidR="00B245AA" w:rsidRDefault="00B245AA" w:rsidP="00B245AA">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(1) </w:t>
            </w:r>
            <w:r w:rsidR="003C65AD" w:rsidRPr="00B245AA">
              <w:rPr>
                <w:rFonts w:ascii="한컴바탕" w:eastAsia="한컴바탕" w:hAnsi="한컴바탕" w:cs="한컴바탕" w:hint="eastAsia"/>
                <w:szCs w:val="21"/>
                <w:lang w:eastAsia="ko-KR"/>
              </w:rPr>
              <w:t>구조조정 거래의 방식;</w:t>
            </w:r>
          </w:p>
          <w:p w:rsidR="00B245AA" w:rsidRDefault="00B245AA" w:rsidP="00B245AA">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(2) </w:t>
            </w:r>
            <w:r w:rsidR="003C65AD" w:rsidRPr="00B245AA">
              <w:rPr>
                <w:rFonts w:ascii="한컴바탕" w:eastAsia="한컴바탕" w:hAnsi="한컴바탕" w:cs="한컴바탕" w:hint="eastAsia"/>
                <w:szCs w:val="21"/>
                <w:lang w:eastAsia="ko-KR"/>
              </w:rPr>
              <w:t>구조조정 거래의 실질적 결과;</w:t>
            </w:r>
          </w:p>
          <w:p w:rsidR="00B245AA" w:rsidRDefault="00B245AA" w:rsidP="00B245AA">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(3) </w:t>
            </w:r>
            <w:r w:rsidR="003C65AD" w:rsidRPr="00B245AA">
              <w:rPr>
                <w:rFonts w:ascii="한컴바탕" w:eastAsia="한컴바탕" w:hAnsi="한컴바탕" w:cs="한컴바탕" w:hint="eastAsia"/>
                <w:szCs w:val="21"/>
                <w:lang w:eastAsia="ko-KR"/>
              </w:rPr>
              <w:t>구조조정 각 당사자의 세무상황 변화;</w:t>
            </w:r>
          </w:p>
          <w:p w:rsidR="00B245AA" w:rsidRDefault="00B245AA" w:rsidP="00B245AA">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(4) </w:t>
            </w:r>
            <w:r w:rsidR="003C65AD" w:rsidRPr="00B245AA">
              <w:rPr>
                <w:rFonts w:ascii="한컴바탕" w:eastAsia="한컴바탕" w:hAnsi="한컴바탕" w:cs="한컴바탕" w:hint="eastAsia"/>
                <w:szCs w:val="21"/>
                <w:lang w:eastAsia="ko-KR"/>
              </w:rPr>
              <w:t>구조조정 각 당사자의 재무상황 변화;</w:t>
            </w:r>
          </w:p>
          <w:p w:rsidR="00B245AA" w:rsidRDefault="00B245AA" w:rsidP="00B245AA">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(5) </w:t>
            </w:r>
            <w:proofErr w:type="spellStart"/>
            <w:r w:rsidR="003C65AD" w:rsidRPr="00B245AA">
              <w:rPr>
                <w:rFonts w:ascii="한컴바탕" w:eastAsia="한컴바탕" w:hAnsi="한컴바탕" w:cs="한컴바탕" w:hint="eastAsia"/>
                <w:spacing w:val="-6"/>
                <w:szCs w:val="21"/>
                <w:lang w:eastAsia="ko-KR"/>
              </w:rPr>
              <w:t>비거주민기업의</w:t>
            </w:r>
            <w:proofErr w:type="spellEnd"/>
            <w:r w:rsidR="003C65AD" w:rsidRPr="00B245AA">
              <w:rPr>
                <w:rFonts w:ascii="한컴바탕" w:eastAsia="한컴바탕" w:hAnsi="한컴바탕" w:cs="한컴바탕" w:hint="eastAsia"/>
                <w:spacing w:val="-6"/>
                <w:szCs w:val="21"/>
                <w:lang w:eastAsia="ko-KR"/>
              </w:rPr>
              <w:t xml:space="preserve"> 구조조정 활동 참여 상황.</w:t>
            </w:r>
          </w:p>
          <w:p w:rsidR="00B245AA" w:rsidRDefault="00B245AA" w:rsidP="00B245AA">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6. </w:t>
            </w:r>
            <w:r w:rsidR="003C65AD" w:rsidRPr="00B245AA">
              <w:rPr>
                <w:rFonts w:ascii="한컴바탕" w:eastAsia="한컴바탕" w:hAnsi="한컴바탕" w:cs="한컴바탕" w:hint="eastAsia"/>
                <w:spacing w:val="-14"/>
                <w:szCs w:val="21"/>
                <w:lang w:eastAsia="ko-KR"/>
              </w:rPr>
              <w:t>기업 구조조정 업무에 특수성 세무처리를 적용하는 경우 신고 시 각 당사자는 구조조정 전 연속 12개월 내에 당해 구조조정과 관련된 기타 지분·자산 거래 발생 여부에 대한 설명을 관할 세무기관에 제출해야 하며 이러한 거래와 당해 구조조정이 단계적으로 추진되는 동일 거래를 구성하는지 여부, 하나의 구조조정 업무로 간주하여 처리하는지 여부를 설명해야 한다.</w:t>
            </w:r>
          </w:p>
          <w:p w:rsidR="00B245AA" w:rsidRDefault="00B245AA" w:rsidP="00B245AA">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7. </w:t>
            </w:r>
            <w:r w:rsidR="003C65AD" w:rsidRPr="00B245AA">
              <w:rPr>
                <w:rFonts w:ascii="한컴바탕" w:eastAsia="한컴바탕" w:hAnsi="한컴바탕" w:cs="한컴바탕" w:hint="eastAsia"/>
                <w:spacing w:val="-8"/>
                <w:szCs w:val="21"/>
                <w:lang w:eastAsia="ko-KR"/>
              </w:rPr>
              <w:t xml:space="preserve">재세[2009]59호 문건 제10조의 규정에 근거하여 동일 구조조정 업무가 연속적인 12개월 내에 단계적으로 거래되고 </w:t>
            </w:r>
            <w:proofErr w:type="spellStart"/>
            <w:r w:rsidR="003C65AD" w:rsidRPr="00B245AA">
              <w:rPr>
                <w:rFonts w:ascii="한컴바탕" w:eastAsia="한컴바탕" w:hAnsi="한컴바탕" w:cs="한컴바탕" w:hint="eastAsia"/>
                <w:spacing w:val="-8"/>
                <w:szCs w:val="21"/>
                <w:lang w:eastAsia="ko-KR"/>
              </w:rPr>
              <w:t>두개의</w:t>
            </w:r>
            <w:proofErr w:type="spellEnd"/>
            <w:r w:rsidR="003C65AD" w:rsidRPr="00B245AA">
              <w:rPr>
                <w:rFonts w:ascii="한컴바탕" w:eastAsia="한컴바탕" w:hAnsi="한컴바탕" w:cs="한컴바탕" w:hint="eastAsia"/>
                <w:spacing w:val="-8"/>
                <w:szCs w:val="21"/>
                <w:lang w:eastAsia="ko-KR"/>
              </w:rPr>
              <w:t xml:space="preserve"> 납세연도에 걸쳐 진행되며 각 당사자가 </w:t>
            </w:r>
            <w:proofErr w:type="spellStart"/>
            <w:r w:rsidR="003C65AD" w:rsidRPr="00B245AA">
              <w:rPr>
                <w:rFonts w:ascii="한컴바탕" w:eastAsia="한컴바탕" w:hAnsi="한컴바탕" w:cs="한컴바탕" w:hint="eastAsia"/>
                <w:spacing w:val="-8"/>
                <w:szCs w:val="21"/>
                <w:lang w:eastAsia="ko-KR"/>
              </w:rPr>
              <w:t>첫번째</w:t>
            </w:r>
            <w:proofErr w:type="spellEnd"/>
            <w:r w:rsidR="003C65AD" w:rsidRPr="00B245AA">
              <w:rPr>
                <w:rFonts w:ascii="한컴바탕" w:eastAsia="한컴바탕" w:hAnsi="한컴바탕" w:cs="한컴바탕" w:hint="eastAsia"/>
                <w:spacing w:val="-8"/>
                <w:szCs w:val="21"/>
                <w:lang w:eastAsia="ko-KR"/>
              </w:rPr>
              <w:t xml:space="preserve"> 납세연도의 거래 완성 시점에 전체 거래가 특수성 세무처리 조건에 부합될 것이라는 예상하에 합의를 거쳐 특수성 세무처리를 선택한 경우 잠정적으로 특수성 세무처리를 적용할 수 있으며 당해 연도 기업소득세 연도 확정신고 시 서면 신고자료를 제출할 수 있다.</w:t>
            </w:r>
          </w:p>
          <w:p w:rsidR="00B245AA" w:rsidRDefault="003C65AD" w:rsidP="00B245AA">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sidRPr="00B245AA">
              <w:rPr>
                <w:rFonts w:ascii="한컴바탕" w:eastAsia="한컴바탕" w:hAnsi="한컴바탕" w:cs="한컴바탕" w:hint="eastAsia"/>
                <w:spacing w:val="-6"/>
                <w:szCs w:val="21"/>
                <w:lang w:eastAsia="ko-KR"/>
              </w:rPr>
              <w:t xml:space="preserve">그 다음 납세연도에 전체 거래가 완성된 후 기업은 특수성 세무처리 적용 여부를 판단해야 한다. 특수성 세무처리를 적용하는 경우 각 당사자는 이 공고의 요구에 따라 관련 자료를 제출해야 하며; 일반 세무처리를 적용하는 경우 해당 납세연도의 기업소득세 연도 </w:t>
            </w:r>
            <w:proofErr w:type="spellStart"/>
            <w:r w:rsidRPr="00B245AA">
              <w:rPr>
                <w:rFonts w:ascii="한컴바탕" w:eastAsia="한컴바탕" w:hAnsi="한컴바탕" w:cs="한컴바탕" w:hint="eastAsia"/>
                <w:spacing w:val="-6"/>
                <w:szCs w:val="21"/>
                <w:lang w:eastAsia="ko-KR"/>
              </w:rPr>
              <w:t>확정신고표를</w:t>
            </w:r>
            <w:proofErr w:type="spellEnd"/>
            <w:r w:rsidRPr="00B245AA">
              <w:rPr>
                <w:rFonts w:ascii="한컴바탕" w:eastAsia="한컴바탕" w:hAnsi="한컴바탕" w:cs="한컴바탕" w:hint="eastAsia"/>
                <w:spacing w:val="-6"/>
                <w:szCs w:val="21"/>
                <w:lang w:eastAsia="ko-KR"/>
              </w:rPr>
              <w:t xml:space="preserve"> 조정하여 기업소득세를 계산 및 납부해야 한다.</w:t>
            </w:r>
          </w:p>
          <w:p w:rsidR="00B245AA" w:rsidRDefault="00B245AA" w:rsidP="00B245AA">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8. </w:t>
            </w:r>
            <w:r w:rsidR="003C65AD" w:rsidRPr="00B245AA">
              <w:rPr>
                <w:rFonts w:ascii="한컴바탕" w:eastAsia="한컴바탕" w:hAnsi="한컴바탕" w:cs="한컴바탕" w:hint="eastAsia"/>
                <w:szCs w:val="21"/>
                <w:lang w:eastAsia="ko-KR"/>
              </w:rPr>
              <w:t>기업에게 재세[2009]59호 문건 제6조 제(1)항에 규정한 채무구조조정이 발생한 경우 채무구조조정 소득 확인금액을 정확하게 기록해야 하며 해당 연도의 기업소득세 정산 시 당해 연도의 확인금액 및 연도별 이월금액에 대해 설명해야 한다.</w:t>
            </w:r>
          </w:p>
          <w:p w:rsidR="00B245AA" w:rsidRDefault="003C65AD" w:rsidP="00B245AA">
            <w:pPr>
              <w:wordWrap w:val="0"/>
              <w:autoSpaceDN w:val="0"/>
              <w:spacing w:line="290" w:lineRule="atLeast"/>
              <w:ind w:firstLineChars="200" w:firstLine="404"/>
              <w:rPr>
                <w:rFonts w:ascii="한컴바탕" w:eastAsia="한컴바탕" w:hAnsi="한컴바탕" w:cs="한컴바탕" w:hint="eastAsia"/>
                <w:spacing w:val="-4"/>
                <w:szCs w:val="21"/>
                <w:lang w:eastAsia="ko-KR"/>
              </w:rPr>
            </w:pPr>
            <w:r w:rsidRPr="00B245AA">
              <w:rPr>
                <w:rFonts w:ascii="한컴바탕" w:eastAsia="한컴바탕" w:hAnsi="한컴바탕" w:cs="한컴바탕" w:hint="eastAsia"/>
                <w:spacing w:val="-4"/>
                <w:szCs w:val="21"/>
                <w:lang w:eastAsia="ko-KR"/>
              </w:rPr>
              <w:t xml:space="preserve">관할 세무기관은 관리대장을 작성하여 기업이 매년 신고하는 채무구조조정 소득에 대한 대조 분석을 실시하고 후속관리를 강화해야 한다.  </w:t>
            </w:r>
          </w:p>
          <w:p w:rsidR="00B245AA" w:rsidRDefault="00B245AA" w:rsidP="00B245AA">
            <w:pPr>
              <w:wordWrap w:val="0"/>
              <w:autoSpaceDN w:val="0"/>
              <w:spacing w:line="290" w:lineRule="atLeast"/>
              <w:ind w:firstLineChars="200" w:firstLine="404"/>
              <w:rPr>
                <w:rFonts w:ascii="한컴바탕" w:eastAsia="한컴바탕" w:hAnsi="한컴바탕" w:cs="한컴바탕" w:hint="eastAsia"/>
                <w:spacing w:val="-4"/>
                <w:szCs w:val="21"/>
                <w:lang w:eastAsia="ko-KR"/>
              </w:rPr>
            </w:pPr>
            <w:r>
              <w:rPr>
                <w:rFonts w:ascii="한컴바탕" w:eastAsia="한컴바탕" w:hAnsi="한컴바탕" w:cs="한컴바탕" w:hint="eastAsia"/>
                <w:spacing w:val="-4"/>
                <w:szCs w:val="21"/>
                <w:lang w:eastAsia="ko-KR"/>
              </w:rPr>
              <w:t xml:space="preserve">9. </w:t>
            </w:r>
            <w:r w:rsidR="003C65AD" w:rsidRPr="00B245AA">
              <w:rPr>
                <w:rFonts w:ascii="한컴바탕" w:eastAsia="한컴바탕" w:hAnsi="한컴바탕" w:cs="한컴바탕" w:hint="eastAsia"/>
                <w:szCs w:val="21"/>
                <w:lang w:eastAsia="ko-KR"/>
              </w:rPr>
              <w:t>기업에게 재세[2009]59호 문건 제7조 제(3)항에 규정한 구조조정이 발생하는 경우 거주민기업은 자산 또는 지분 양도수익 확인총액을 정확하게 기록해야 하며 해당 연도의 기업소득세 정산 시 당해 연도의 확인금액 및 연도별 이월금액에 대해 설명해야 한다.</w:t>
            </w:r>
          </w:p>
          <w:p w:rsidR="00B245AA" w:rsidRDefault="003C65AD" w:rsidP="00B245AA">
            <w:pPr>
              <w:wordWrap w:val="0"/>
              <w:autoSpaceDN w:val="0"/>
              <w:spacing w:line="290" w:lineRule="atLeast"/>
              <w:ind w:firstLineChars="200" w:firstLine="420"/>
              <w:rPr>
                <w:rFonts w:ascii="한컴바탕" w:eastAsia="한컴바탕" w:hAnsi="한컴바탕" w:cs="한컴바탕" w:hint="eastAsia"/>
                <w:spacing w:val="-4"/>
                <w:szCs w:val="21"/>
                <w:lang w:eastAsia="ko-KR"/>
              </w:rPr>
            </w:pPr>
            <w:r w:rsidRPr="00B245AA">
              <w:rPr>
                <w:rFonts w:ascii="한컴바탕" w:eastAsia="한컴바탕" w:hAnsi="한컴바탕" w:cs="한컴바탕" w:hint="eastAsia"/>
                <w:szCs w:val="21"/>
                <w:lang w:eastAsia="ko-KR"/>
              </w:rPr>
              <w:t xml:space="preserve">관할 세무기관은 관리대장을 작성하여 거주민기업이 취득한 지분의 과세기준과 매년 확인하는 자산 또는 지분 양도수익에 대한 대조 분석을 실시하고 후속관리를 강화해야 한다. </w:t>
            </w:r>
          </w:p>
          <w:p w:rsidR="00B245AA" w:rsidRDefault="00B245AA" w:rsidP="00B245AA">
            <w:pPr>
              <w:wordWrap w:val="0"/>
              <w:autoSpaceDN w:val="0"/>
              <w:spacing w:line="290" w:lineRule="atLeast"/>
              <w:ind w:firstLineChars="200" w:firstLine="404"/>
              <w:rPr>
                <w:rFonts w:ascii="한컴바탕" w:eastAsia="한컴바탕" w:hAnsi="한컴바탕" w:cs="한컴바탕" w:hint="eastAsia"/>
                <w:spacing w:val="-4"/>
                <w:szCs w:val="21"/>
                <w:lang w:eastAsia="ko-KR"/>
              </w:rPr>
            </w:pPr>
            <w:r>
              <w:rPr>
                <w:rFonts w:ascii="한컴바탕" w:eastAsia="한컴바탕" w:hAnsi="한컴바탕" w:cs="한컴바탕" w:hint="eastAsia"/>
                <w:spacing w:val="-4"/>
                <w:szCs w:val="21"/>
                <w:lang w:eastAsia="ko-KR"/>
              </w:rPr>
              <w:t xml:space="preserve">10. </w:t>
            </w:r>
            <w:r w:rsidR="003C65AD" w:rsidRPr="00B245AA">
              <w:rPr>
                <w:rFonts w:ascii="한컴바탕" w:eastAsia="한컴바탕" w:hAnsi="한컴바탕" w:cs="한컴바탕" w:hint="eastAsia"/>
                <w:szCs w:val="21"/>
                <w:lang w:eastAsia="ko-KR"/>
              </w:rPr>
              <w:t xml:space="preserve">특수성 세무처리를 적용한 기업이 이후 연도에 구조조정 자산(지분)을 양도하거나 처분하는 경우 연도 납세신고 시 특수성 세무처리 시 확정한 구조조정 자산(지분)의 과세기준과 양도 또는 처분 시의 과세기준의 대조 상황 및 </w:t>
            </w:r>
            <w:proofErr w:type="spellStart"/>
            <w:r w:rsidR="003C65AD" w:rsidRPr="00B245AA">
              <w:rPr>
                <w:rFonts w:ascii="한컴바탕" w:eastAsia="한컴바탕" w:hAnsi="한컴바탕" w:cs="한컴바탕" w:hint="eastAsia"/>
                <w:szCs w:val="21"/>
                <w:lang w:eastAsia="ko-KR"/>
              </w:rPr>
              <w:t>이연소득세</w:t>
            </w:r>
            <w:proofErr w:type="spellEnd"/>
            <w:r w:rsidR="003C65AD" w:rsidRPr="00B245AA">
              <w:rPr>
                <w:rFonts w:ascii="한컴바탕" w:eastAsia="한컴바탕" w:hAnsi="한컴바탕" w:cs="한컴바탕" w:hint="eastAsia"/>
                <w:szCs w:val="21"/>
                <w:lang w:eastAsia="ko-KR"/>
              </w:rPr>
              <w:t xml:space="preserve"> 부채의 처리 상황 등을 포함한 자산(지분)양도 소득 또는 손실 상황에 대한 특별 설명을 해야 한다.</w:t>
            </w:r>
          </w:p>
          <w:p w:rsidR="00B245AA" w:rsidRDefault="003C65AD" w:rsidP="00B245AA">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sidRPr="00B245AA">
              <w:rPr>
                <w:rFonts w:ascii="한컴바탕" w:eastAsia="한컴바탕" w:hAnsi="한컴바탕" w:cs="한컴바탕" w:hint="eastAsia"/>
                <w:spacing w:val="-6"/>
                <w:szCs w:val="21"/>
                <w:lang w:eastAsia="ko-KR"/>
              </w:rPr>
              <w:t xml:space="preserve">특수성 세무처리를 적용한 기업이 이후 연도에 구조조정 자산(지분)을 양도하거나 처분하는 경우 관할 세무기관은 평가와 검사를 강화해야 하고 특수성 세무처리 시 확정한 구조조정 자산(지분)의 과세기준과 양도 또는 처분 시의 과세기준 및 관련 </w:t>
            </w:r>
            <w:proofErr w:type="spellStart"/>
            <w:r w:rsidRPr="00B245AA">
              <w:rPr>
                <w:rFonts w:ascii="한컴바탕" w:eastAsia="한컴바탕" w:hAnsi="한컴바탕" w:cs="한컴바탕" w:hint="eastAsia"/>
                <w:spacing w:val="-6"/>
                <w:szCs w:val="21"/>
                <w:lang w:eastAsia="ko-KR"/>
              </w:rPr>
              <w:t>연도납세신고표를</w:t>
            </w:r>
            <w:proofErr w:type="spellEnd"/>
            <w:r w:rsidRPr="00B245AA">
              <w:rPr>
                <w:rFonts w:ascii="한컴바탕" w:eastAsia="한컴바탕" w:hAnsi="한컴바탕" w:cs="한컴바탕" w:hint="eastAsia"/>
                <w:spacing w:val="-6"/>
                <w:szCs w:val="21"/>
                <w:lang w:eastAsia="ko-KR"/>
              </w:rPr>
              <w:t xml:space="preserve"> </w:t>
            </w:r>
            <w:proofErr w:type="spellStart"/>
            <w:r w:rsidRPr="00B245AA">
              <w:rPr>
                <w:rFonts w:ascii="한컴바탕" w:eastAsia="한컴바탕" w:hAnsi="한컴바탕" w:cs="한컴바탕" w:hint="eastAsia"/>
                <w:spacing w:val="-6"/>
                <w:szCs w:val="21"/>
                <w:lang w:eastAsia="ko-KR"/>
              </w:rPr>
              <w:t>대조확인해야</w:t>
            </w:r>
            <w:proofErr w:type="spellEnd"/>
            <w:r w:rsidRPr="00B245AA">
              <w:rPr>
                <w:rFonts w:ascii="한컴바탕" w:eastAsia="한컴바탕" w:hAnsi="한컴바탕" w:cs="한컴바탕" w:hint="eastAsia"/>
                <w:spacing w:val="-6"/>
                <w:szCs w:val="21"/>
                <w:lang w:eastAsia="ko-KR"/>
              </w:rPr>
              <w:t xml:space="preserve"> 하며 문제를 발견한 경우 법에 따라 조정해야 한다.</w:t>
            </w:r>
          </w:p>
          <w:p w:rsidR="00B245AA" w:rsidRDefault="00B245AA" w:rsidP="00B245AA">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11. </w:t>
            </w:r>
            <w:r w:rsidR="003C65AD" w:rsidRPr="00B245AA">
              <w:rPr>
                <w:rFonts w:ascii="한컴바탕" w:eastAsia="한컴바탕" w:hAnsi="한컴바탕" w:cs="한컴바탕" w:hint="eastAsia"/>
                <w:szCs w:val="21"/>
                <w:lang w:eastAsia="ko-KR"/>
              </w:rPr>
              <w:t xml:space="preserve">세무기관은 특수성 세무처리를 적용하는 기업 구조조정에 대한 통계와 관련 자료의 </w:t>
            </w:r>
            <w:proofErr w:type="spellStart"/>
            <w:r w:rsidR="003C65AD" w:rsidRPr="00B245AA">
              <w:rPr>
                <w:rFonts w:ascii="한컴바탕" w:eastAsia="한컴바탕" w:hAnsi="한컴바탕" w:cs="한컴바탕" w:hint="eastAsia"/>
                <w:szCs w:val="21"/>
                <w:lang w:eastAsia="ko-KR"/>
              </w:rPr>
              <w:t>파일링</w:t>
            </w:r>
            <w:proofErr w:type="spellEnd"/>
            <w:r w:rsidR="003C65AD" w:rsidRPr="00B245AA">
              <w:rPr>
                <w:rFonts w:ascii="한컴바탕" w:eastAsia="한컴바탕" w:hAnsi="한컴바탕" w:cs="한컴바탕" w:hint="eastAsia"/>
                <w:szCs w:val="21"/>
                <w:lang w:eastAsia="ko-KR"/>
              </w:rPr>
              <w:t xml:space="preserve"> 업무를 </w:t>
            </w:r>
            <w:proofErr w:type="spellStart"/>
            <w:r w:rsidR="003C65AD" w:rsidRPr="00B245AA">
              <w:rPr>
                <w:rFonts w:ascii="한컴바탕" w:eastAsia="한컴바탕" w:hAnsi="한컴바탕" w:cs="한컴바탕" w:hint="eastAsia"/>
                <w:szCs w:val="21"/>
                <w:lang w:eastAsia="ko-KR"/>
              </w:rPr>
              <w:t>차질없이</w:t>
            </w:r>
            <w:proofErr w:type="spellEnd"/>
            <w:r w:rsidR="003C65AD" w:rsidRPr="00B245AA">
              <w:rPr>
                <w:rFonts w:ascii="한컴바탕" w:eastAsia="한컴바탕" w:hAnsi="한컴바탕" w:cs="한컴바탕" w:hint="eastAsia"/>
                <w:szCs w:val="21"/>
                <w:lang w:eastAsia="ko-KR"/>
              </w:rPr>
              <w:t xml:space="preserve"> 진행해야 한다. 각 성·자치구·직할시 및 계획단열시의 </w:t>
            </w:r>
            <w:proofErr w:type="spellStart"/>
            <w:r w:rsidR="003C65AD" w:rsidRPr="00B245AA">
              <w:rPr>
                <w:rFonts w:ascii="한컴바탕" w:eastAsia="한컴바탕" w:hAnsi="한컴바탕" w:cs="한컴바탕" w:hint="eastAsia"/>
                <w:szCs w:val="21"/>
                <w:lang w:eastAsia="ko-KR"/>
              </w:rPr>
              <w:t>국가세무국</w:t>
            </w:r>
            <w:proofErr w:type="spellEnd"/>
            <w:r w:rsidR="003C65AD" w:rsidRPr="00B245AA">
              <w:rPr>
                <w:rFonts w:ascii="한컴바탕" w:eastAsia="한컴바탕" w:hAnsi="한컴바탕" w:cs="한컴바탕" w:hint="eastAsia"/>
                <w:szCs w:val="21"/>
                <w:lang w:eastAsia="ko-KR"/>
              </w:rPr>
              <w:t>, 지방세무국은 매년 8월 말까지 &lt;기업 구조조정 소득세 특수성 세무처리 통계표&gt;(첨부 3 참조)를 세무총국(</w:t>
            </w:r>
            <w:proofErr w:type="spellStart"/>
            <w:r w:rsidR="003C65AD" w:rsidRPr="00B245AA">
              <w:rPr>
                <w:rFonts w:ascii="한컴바탕" w:eastAsia="한컴바탕" w:hAnsi="한컴바탕" w:cs="한컴바탕" w:hint="eastAsia"/>
                <w:szCs w:val="21"/>
                <w:lang w:eastAsia="ko-KR"/>
              </w:rPr>
              <w:t>소득세사</w:t>
            </w:r>
            <w:proofErr w:type="spellEnd"/>
            <w:r w:rsidR="003C65AD" w:rsidRPr="00B245AA">
              <w:rPr>
                <w:rFonts w:ascii="한컴바탕" w:eastAsia="한컴바탕" w:hAnsi="한컴바탕" w:cs="한컴바탕" w:hint="eastAsia"/>
                <w:szCs w:val="21"/>
                <w:lang w:eastAsia="ko-KR"/>
              </w:rPr>
              <w:t>)에 보고해야 한다.</w:t>
            </w:r>
          </w:p>
          <w:p w:rsidR="00891F4C" w:rsidRDefault="00B245AA" w:rsidP="00891F4C">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12. </w:t>
            </w:r>
            <w:r w:rsidR="003C65AD" w:rsidRPr="00891F4C">
              <w:rPr>
                <w:rFonts w:ascii="한컴바탕" w:eastAsia="한컴바탕" w:hAnsi="한컴바탕" w:cs="한컴바탕" w:hint="eastAsia"/>
                <w:spacing w:val="6"/>
                <w:szCs w:val="21"/>
                <w:lang w:eastAsia="ko-KR"/>
              </w:rPr>
              <w:t>이 공고는 2015연도 및 그 이후 연도의 기업소득세 정산에 적용된다. &lt;&lt;기업 구조조정 업무 기업소득세 관리방법&gt; 인쇄발부에 관한 국가세무총국의 공고&gt;(국가세무총국공고 2010년 제4호)의 제3조, 제7조, 제8조, 제16조, 제17조, 제18조, 제22조, 제23조, 제24조, 제25조, 제27조, 제32조는 동시에 폐지한다.</w:t>
            </w:r>
          </w:p>
          <w:p w:rsidR="003C65AD" w:rsidRPr="00891F4C" w:rsidRDefault="003C65AD" w:rsidP="00891F4C">
            <w:pPr>
              <w:wordWrap w:val="0"/>
              <w:autoSpaceDN w:val="0"/>
              <w:spacing w:line="290" w:lineRule="atLeast"/>
              <w:ind w:firstLineChars="200" w:firstLine="404"/>
              <w:rPr>
                <w:rFonts w:ascii="한컴바탕" w:eastAsia="한컴바탕" w:hAnsi="한컴바탕" w:cs="한컴바탕"/>
                <w:spacing w:val="-4"/>
                <w:szCs w:val="21"/>
                <w:lang w:eastAsia="ko-KR"/>
              </w:rPr>
            </w:pPr>
            <w:r w:rsidRPr="00891F4C">
              <w:rPr>
                <w:rFonts w:ascii="한컴바탕" w:eastAsia="한컴바탕" w:hAnsi="한컴바탕" w:cs="한컴바탕" w:hint="eastAsia"/>
                <w:spacing w:val="-4"/>
                <w:szCs w:val="21"/>
                <w:lang w:eastAsia="ko-KR"/>
              </w:rPr>
              <w:t>이 공고가 시행되기 전에 기업이 이미 구조조정협약을 체결하였으나 구조조정이 아직 완성되지 아니한 경우 이 공고에 따라 집행한다.</w:t>
            </w:r>
          </w:p>
          <w:p w:rsidR="003C65AD" w:rsidRPr="003C65AD" w:rsidRDefault="003C65AD" w:rsidP="003C65AD">
            <w:pPr>
              <w:pStyle w:val="a5"/>
              <w:wordWrap w:val="0"/>
              <w:autoSpaceDN w:val="0"/>
              <w:spacing w:line="290" w:lineRule="atLeast"/>
              <w:rPr>
                <w:rFonts w:ascii="한컴바탕" w:eastAsia="한컴바탕" w:hAnsi="한컴바탕" w:cs="한컴바탕"/>
                <w:szCs w:val="21"/>
                <w:lang w:eastAsia="ko-KR"/>
              </w:rPr>
            </w:pPr>
            <w:r w:rsidRPr="003C65AD">
              <w:rPr>
                <w:rFonts w:ascii="한컴바탕" w:eastAsia="한컴바탕" w:hAnsi="한컴바탕" w:cs="한컴바탕" w:hint="eastAsia"/>
                <w:szCs w:val="21"/>
                <w:lang w:eastAsia="ko-KR"/>
              </w:rPr>
              <w:t>위와 같이 특별히 공고한다.</w:t>
            </w:r>
          </w:p>
          <w:p w:rsidR="003C65AD" w:rsidRPr="003C65AD" w:rsidRDefault="003C65AD" w:rsidP="003C65AD">
            <w:pPr>
              <w:pStyle w:val="a5"/>
              <w:wordWrap w:val="0"/>
              <w:autoSpaceDN w:val="0"/>
              <w:spacing w:line="290" w:lineRule="atLeast"/>
              <w:rPr>
                <w:rFonts w:ascii="한컴바탕" w:eastAsia="한컴바탕" w:hAnsi="한컴바탕" w:cs="한컴바탕"/>
                <w:szCs w:val="21"/>
                <w:lang w:eastAsia="ko-KR"/>
              </w:rPr>
            </w:pPr>
          </w:p>
          <w:p w:rsidR="00891F4C" w:rsidRDefault="003C65AD" w:rsidP="003C65AD">
            <w:pPr>
              <w:pStyle w:val="a5"/>
              <w:wordWrap w:val="0"/>
              <w:autoSpaceDN w:val="0"/>
              <w:spacing w:line="290" w:lineRule="atLeast"/>
              <w:rPr>
                <w:rFonts w:ascii="한컴바탕" w:eastAsia="한컴바탕" w:hAnsi="한컴바탕" w:cs="한컴바탕" w:hint="eastAsia"/>
                <w:szCs w:val="21"/>
                <w:lang w:eastAsia="ko-KR"/>
              </w:rPr>
            </w:pPr>
            <w:r w:rsidRPr="003C65AD">
              <w:rPr>
                <w:rFonts w:ascii="한컴바탕" w:eastAsia="한컴바탕" w:hAnsi="한컴바탕" w:cs="한컴바탕"/>
                <w:szCs w:val="21"/>
                <w:lang w:eastAsia="ko-KR"/>
              </w:rPr>
              <w:t xml:space="preserve">첨부: </w:t>
            </w:r>
          </w:p>
          <w:p w:rsidR="003C65AD" w:rsidRPr="003C65AD" w:rsidRDefault="003C65AD" w:rsidP="003C65AD">
            <w:pPr>
              <w:pStyle w:val="a5"/>
              <w:wordWrap w:val="0"/>
              <w:autoSpaceDN w:val="0"/>
              <w:spacing w:line="290" w:lineRule="atLeast"/>
              <w:rPr>
                <w:rFonts w:ascii="한컴바탕" w:eastAsia="한컴바탕" w:hAnsi="한컴바탕" w:cs="한컴바탕"/>
                <w:szCs w:val="21"/>
                <w:lang w:eastAsia="ko-KR"/>
              </w:rPr>
            </w:pPr>
            <w:r w:rsidRPr="003C65AD">
              <w:rPr>
                <w:rFonts w:ascii="한컴바탕" w:eastAsia="한컴바탕" w:hAnsi="한컴바탕" w:cs="한컴바탕"/>
                <w:szCs w:val="21"/>
                <w:lang w:eastAsia="ko-KR"/>
              </w:rPr>
              <w:t xml:space="preserve">1. 기업 구조조정 소득세 특수성 세무처리 </w:t>
            </w:r>
            <w:proofErr w:type="spellStart"/>
            <w:r w:rsidRPr="003C65AD">
              <w:rPr>
                <w:rFonts w:ascii="한컴바탕" w:eastAsia="한컴바탕" w:hAnsi="한컴바탕" w:cs="한컴바탕"/>
                <w:szCs w:val="21"/>
                <w:lang w:eastAsia="ko-KR"/>
              </w:rPr>
              <w:t>보고표</w:t>
            </w:r>
            <w:proofErr w:type="spellEnd"/>
            <w:r w:rsidRPr="003C65AD">
              <w:rPr>
                <w:rFonts w:ascii="한컴바탕" w:eastAsia="한컴바탕" w:hAnsi="한컴바탕" w:cs="한컴바탕"/>
                <w:szCs w:val="21"/>
                <w:lang w:eastAsia="ko-KR"/>
              </w:rPr>
              <w:t xml:space="preserve"> 및 별표</w:t>
            </w:r>
          </w:p>
          <w:p w:rsidR="00891F4C" w:rsidRDefault="003C65AD" w:rsidP="00891F4C">
            <w:pPr>
              <w:wordWrap w:val="0"/>
              <w:autoSpaceDN w:val="0"/>
              <w:spacing w:line="290" w:lineRule="atLeast"/>
              <w:rPr>
                <w:rFonts w:ascii="한컴바탕" w:eastAsia="한컴바탕" w:hAnsi="한컴바탕" w:cs="한컴바탕" w:hint="eastAsia"/>
                <w:szCs w:val="21"/>
                <w:lang w:eastAsia="ko-KR"/>
              </w:rPr>
            </w:pPr>
            <w:hyperlink r:id="rId5" w:history="1">
              <w:r w:rsidRPr="003C65AD">
                <w:rPr>
                  <w:rStyle w:val="a4"/>
                  <w:rFonts w:ascii="한컴바탕" w:eastAsia="한컴바탕" w:hAnsi="한컴바탕" w:cs="한컴바탕"/>
                  <w:szCs w:val="21"/>
                  <w:lang w:eastAsia="ko-KR"/>
                </w:rPr>
                <w:t>http://www.chinat</w:t>
              </w:r>
              <w:r w:rsidRPr="003C65AD">
                <w:rPr>
                  <w:rStyle w:val="a4"/>
                  <w:rFonts w:ascii="한컴바탕" w:eastAsia="한컴바탕" w:hAnsi="한컴바탕" w:cs="한컴바탕"/>
                  <w:szCs w:val="21"/>
                </w:rPr>
                <w:t>ax.gov.cn/n810341/n810755/c1712189/part/1712207.xls</w:t>
              </w:r>
            </w:hyperlink>
          </w:p>
          <w:p w:rsidR="003C65AD" w:rsidRPr="00891F4C" w:rsidRDefault="003C65AD" w:rsidP="00891F4C">
            <w:pPr>
              <w:wordWrap w:val="0"/>
              <w:autoSpaceDN w:val="0"/>
              <w:spacing w:line="290" w:lineRule="atLeast"/>
              <w:ind w:firstLineChars="200" w:firstLine="420"/>
              <w:rPr>
                <w:rFonts w:ascii="한컴바탕" w:eastAsia="한컴바탕" w:hAnsi="한컴바탕" w:cs="한컴바탕"/>
                <w:szCs w:val="21"/>
                <w:lang w:eastAsia="ko-KR"/>
              </w:rPr>
            </w:pPr>
            <w:r w:rsidRPr="00891F4C">
              <w:rPr>
                <w:rFonts w:ascii="한컴바탕" w:eastAsia="한컴바탕" w:hAnsi="한컴바탕" w:cs="한컴바탕"/>
                <w:szCs w:val="21"/>
                <w:lang w:eastAsia="ko-KR"/>
              </w:rPr>
              <w:t>2. 기업 구조조정 소득세 특수성 세무처리 신고자료 일람표</w:t>
            </w:r>
          </w:p>
          <w:p w:rsidR="003C65AD" w:rsidRPr="003C65AD" w:rsidRDefault="003C65AD" w:rsidP="00891F4C">
            <w:pPr>
              <w:wordWrap w:val="0"/>
              <w:autoSpaceDN w:val="0"/>
              <w:spacing w:line="290" w:lineRule="atLeast"/>
              <w:rPr>
                <w:rFonts w:ascii="한컴바탕" w:eastAsia="한컴바탕" w:hAnsi="한컴바탕" w:cs="한컴바탕"/>
                <w:szCs w:val="21"/>
                <w:lang w:eastAsia="ko-KR"/>
              </w:rPr>
            </w:pPr>
            <w:hyperlink r:id="rId6" w:history="1">
              <w:r w:rsidRPr="003C65AD">
                <w:rPr>
                  <w:rStyle w:val="a4"/>
                  <w:rFonts w:ascii="한컴바탕" w:eastAsia="한컴바탕" w:hAnsi="한컴바탕" w:cs="한컴바탕"/>
                  <w:szCs w:val="21"/>
                </w:rPr>
                <w:t>http://www.chinatax.gov.cn/n810341/n810755/c1712189/part/1712208.xls</w:t>
              </w:r>
            </w:hyperlink>
          </w:p>
          <w:p w:rsidR="003C65AD" w:rsidRPr="00891F4C" w:rsidRDefault="003C65AD" w:rsidP="00891F4C">
            <w:pPr>
              <w:wordWrap w:val="0"/>
              <w:autoSpaceDN w:val="0"/>
              <w:spacing w:line="290" w:lineRule="atLeast"/>
              <w:ind w:firstLineChars="200" w:firstLine="420"/>
              <w:rPr>
                <w:rFonts w:ascii="한컴바탕" w:eastAsia="한컴바탕" w:hAnsi="한컴바탕" w:cs="한컴바탕"/>
                <w:szCs w:val="21"/>
                <w:lang w:eastAsia="ko-KR"/>
              </w:rPr>
            </w:pPr>
            <w:r w:rsidRPr="00891F4C">
              <w:rPr>
                <w:rFonts w:ascii="한컴바탕" w:eastAsia="한컴바탕" w:hAnsi="한컴바탕" w:cs="한컴바탕"/>
                <w:szCs w:val="21"/>
                <w:lang w:eastAsia="ko-KR"/>
              </w:rPr>
              <w:t>3. 기업 구조조정 소득세 특수성 세무처리 통계표</w:t>
            </w:r>
          </w:p>
          <w:p w:rsidR="003C65AD" w:rsidRPr="003C65AD" w:rsidRDefault="003C65AD" w:rsidP="00891F4C">
            <w:pPr>
              <w:wordWrap w:val="0"/>
              <w:autoSpaceDN w:val="0"/>
              <w:spacing w:line="290" w:lineRule="atLeast"/>
              <w:rPr>
                <w:rFonts w:ascii="한컴바탕" w:eastAsia="한컴바탕" w:hAnsi="한컴바탕" w:cs="한컴바탕"/>
                <w:szCs w:val="21"/>
              </w:rPr>
            </w:pPr>
            <w:hyperlink r:id="rId7" w:history="1">
              <w:r w:rsidRPr="003C65AD">
                <w:rPr>
                  <w:rStyle w:val="a4"/>
                  <w:rFonts w:ascii="한컴바탕" w:eastAsia="한컴바탕" w:hAnsi="한컴바탕" w:cs="한컴바탕"/>
                  <w:szCs w:val="21"/>
                </w:rPr>
                <w:t>http://www.chinatax.gov.cn/n810341/n810755/c1712189/part/1712209.xls</w:t>
              </w:r>
            </w:hyperlink>
          </w:p>
          <w:p w:rsidR="003C65AD" w:rsidRPr="003C65AD" w:rsidRDefault="003C65AD" w:rsidP="003C65AD">
            <w:pPr>
              <w:pStyle w:val="a5"/>
              <w:wordWrap w:val="0"/>
              <w:autoSpaceDN w:val="0"/>
              <w:spacing w:line="290" w:lineRule="atLeast"/>
              <w:rPr>
                <w:rFonts w:ascii="한컴바탕" w:eastAsia="한컴바탕" w:hAnsi="한컴바탕" w:cs="한컴바탕"/>
                <w:szCs w:val="21"/>
                <w:lang w:eastAsia="ko-KR"/>
              </w:rPr>
            </w:pPr>
            <w:r w:rsidRPr="003C65AD">
              <w:rPr>
                <w:rFonts w:ascii="한컴바탕" w:eastAsia="한컴바탕" w:hAnsi="한컴바탕" w:cs="한컴바탕" w:hint="eastAsia"/>
                <w:szCs w:val="21"/>
                <w:lang w:eastAsia="ko-KR"/>
              </w:rPr>
              <w:t xml:space="preserve">　　</w:t>
            </w:r>
          </w:p>
          <w:p w:rsidR="003C65AD" w:rsidRPr="003C65AD" w:rsidRDefault="003C65AD" w:rsidP="00891F4C">
            <w:pPr>
              <w:pStyle w:val="a5"/>
              <w:wordWrap w:val="0"/>
              <w:autoSpaceDN w:val="0"/>
              <w:spacing w:line="290" w:lineRule="atLeast"/>
              <w:jc w:val="right"/>
              <w:rPr>
                <w:rFonts w:ascii="한컴바탕" w:eastAsia="한컴바탕" w:hAnsi="한컴바탕" w:cs="한컴바탕"/>
                <w:szCs w:val="21"/>
                <w:lang w:eastAsia="ko-KR"/>
              </w:rPr>
            </w:pPr>
            <w:r w:rsidRPr="003C65AD">
              <w:rPr>
                <w:rFonts w:ascii="한컴바탕" w:eastAsia="한컴바탕" w:hAnsi="한컴바탕" w:cs="한컴바탕" w:hint="eastAsia"/>
                <w:szCs w:val="21"/>
                <w:lang w:eastAsia="ko-KR"/>
              </w:rPr>
              <w:t>국가세무총국</w:t>
            </w:r>
          </w:p>
          <w:p w:rsidR="003C65AD" w:rsidRPr="003C65AD" w:rsidRDefault="003C65AD" w:rsidP="00891F4C">
            <w:pPr>
              <w:pStyle w:val="a5"/>
              <w:wordWrap w:val="0"/>
              <w:autoSpaceDN w:val="0"/>
              <w:spacing w:line="290" w:lineRule="atLeast"/>
              <w:jc w:val="right"/>
              <w:rPr>
                <w:rFonts w:ascii="한컴바탕" w:eastAsia="한컴바탕" w:hAnsi="한컴바탕" w:cs="한컴바탕"/>
                <w:szCs w:val="21"/>
                <w:lang w:eastAsia="ko-KR"/>
              </w:rPr>
            </w:pPr>
            <w:r w:rsidRPr="003C65AD">
              <w:rPr>
                <w:rFonts w:ascii="한컴바탕" w:eastAsia="한컴바탕" w:hAnsi="한컴바탕" w:cs="한컴바탕" w:hint="eastAsia"/>
                <w:szCs w:val="21"/>
                <w:lang w:eastAsia="ko-KR"/>
              </w:rPr>
              <w:t>2015년 6월 24일</w:t>
            </w:r>
          </w:p>
          <w:p w:rsidR="003C65AD" w:rsidRPr="003C65AD" w:rsidRDefault="003C65AD" w:rsidP="003C65AD">
            <w:pPr>
              <w:wordWrap w:val="0"/>
              <w:autoSpaceDN w:val="0"/>
              <w:spacing w:line="290" w:lineRule="atLeast"/>
              <w:ind w:firstLineChars="200" w:firstLine="420"/>
              <w:rPr>
                <w:rFonts w:ascii="한컴바탕" w:eastAsia="한컴바탕" w:hAnsi="한컴바탕" w:cs="한컴바탕"/>
                <w:szCs w:val="21"/>
              </w:rPr>
            </w:pPr>
          </w:p>
        </w:tc>
        <w:tc>
          <w:tcPr>
            <w:tcW w:w="539" w:type="dxa"/>
          </w:tcPr>
          <w:p w:rsidR="003C65AD" w:rsidRDefault="003C65AD"/>
        </w:tc>
        <w:tc>
          <w:tcPr>
            <w:tcW w:w="3958" w:type="dxa"/>
          </w:tcPr>
          <w:p w:rsidR="003C65AD" w:rsidRPr="003C65AD" w:rsidRDefault="003C65AD" w:rsidP="003C65AD">
            <w:pPr>
              <w:wordWrap w:val="0"/>
              <w:autoSpaceDE w:val="0"/>
              <w:autoSpaceDN w:val="0"/>
              <w:spacing w:line="290" w:lineRule="atLeast"/>
              <w:jc w:val="center"/>
              <w:rPr>
                <w:rFonts w:ascii="SimSun" w:eastAsia="SimSun" w:hAnsi="SimSun"/>
                <w:b/>
                <w:sz w:val="26"/>
                <w:szCs w:val="26"/>
              </w:rPr>
            </w:pPr>
            <w:r w:rsidRPr="003C65AD">
              <w:rPr>
                <w:rFonts w:ascii="SimSun" w:eastAsia="SimSun" w:hAnsi="SimSun" w:hint="eastAsia"/>
                <w:b/>
                <w:sz w:val="26"/>
                <w:szCs w:val="26"/>
              </w:rPr>
              <w:t>国家税务总局</w:t>
            </w:r>
          </w:p>
          <w:p w:rsidR="003C65AD" w:rsidRPr="003C65AD" w:rsidRDefault="003C65AD" w:rsidP="003C65AD">
            <w:pPr>
              <w:wordWrap w:val="0"/>
              <w:autoSpaceDE w:val="0"/>
              <w:autoSpaceDN w:val="0"/>
              <w:spacing w:line="290" w:lineRule="atLeast"/>
              <w:jc w:val="center"/>
              <w:rPr>
                <w:rFonts w:ascii="SimSun" w:eastAsia="SimSun" w:hAnsi="SimSun"/>
                <w:b/>
                <w:sz w:val="26"/>
                <w:szCs w:val="26"/>
              </w:rPr>
            </w:pPr>
            <w:r w:rsidRPr="003C65AD">
              <w:rPr>
                <w:rFonts w:ascii="SimSun" w:eastAsia="SimSun" w:hAnsi="SimSun" w:hint="eastAsia"/>
                <w:b/>
                <w:sz w:val="26"/>
                <w:szCs w:val="26"/>
              </w:rPr>
              <w:t>关于企业重组业务企业所得税征收管理若干问题的公告</w:t>
            </w:r>
          </w:p>
          <w:p w:rsidR="003C65AD" w:rsidRPr="003C65AD" w:rsidRDefault="003C65AD" w:rsidP="003C65AD">
            <w:pPr>
              <w:wordWrap w:val="0"/>
              <w:autoSpaceDE w:val="0"/>
              <w:autoSpaceDN w:val="0"/>
              <w:spacing w:line="290" w:lineRule="atLeast"/>
              <w:jc w:val="center"/>
              <w:rPr>
                <w:rFonts w:ascii="SimSun" w:eastAsia="SimSun" w:hAnsi="SimSun"/>
                <w:szCs w:val="21"/>
              </w:rPr>
            </w:pPr>
            <w:r w:rsidRPr="003C65AD">
              <w:rPr>
                <w:rFonts w:ascii="SimSun" w:eastAsia="SimSun" w:hAnsi="SimSun" w:hint="eastAsia"/>
                <w:szCs w:val="21"/>
              </w:rPr>
              <w:t>国家税务总局公告2015年第48号</w:t>
            </w:r>
          </w:p>
          <w:p w:rsidR="003C65AD" w:rsidRPr="003C65AD" w:rsidRDefault="003C65AD" w:rsidP="003C65AD">
            <w:pPr>
              <w:wordWrap w:val="0"/>
              <w:autoSpaceDE w:val="0"/>
              <w:autoSpaceDN w:val="0"/>
              <w:spacing w:line="290" w:lineRule="atLeast"/>
              <w:rPr>
                <w:rFonts w:ascii="SimSun" w:eastAsia="SimSun" w:hAnsi="SimSun"/>
                <w:szCs w:val="21"/>
              </w:rPr>
            </w:pP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根据《中华人民共和国企业所得税法》及其实施条例、《中华人民共和国税收征收管理法》及其实施细则、《国务院关于取消非行政许可审批事项的决定》（国发〔2015〕27号）、《财政部 国家税务总局关于企业重组业务企业所得税处理若干问题的通知》（财税〔2009〕59号）和《财政部 国家税务总局关于促进企业重组有关企业所得税处理问题的通知》（财税〔2014〕109号）等有关规定，现对企业重组业务企业所得税征收管理若干问题公告如下： </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一、按照重组类型，企业重组的当事各方是指：</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（一）债务重组中当事各方，指债务人、债权人。</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（二）股权收购中当事各方，指收购方、转让方及被收购企业。</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（三）资产收购中当事各方，指收购方、转让方。</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（四）合并中当事各方，指合并企业、被合并企业及被合并企业股东。</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（五）分立中当事各方，指分立企业、被分立企业及被分立企业股东。</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上述重组交易中，股权收购中转让方、合并中被合并企业股东和分立中被分立企业股东，可以是自然人。</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当事各方中的自然人应按个人所得税的相关规定进行税务处理。</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二、重组当事各方企业适用特殊性税务处理的（指重组业务符合财税〔2009〕59号文件和财税〔2014〕109号文件第一条、第二条规定条件并选择特殊性税务处理的，下同），应按如下规定确定重组主导方：</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（一）债务重组，主导方为债务人。</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（二）股权收购，主导方为股权转让方，涉及两个或两个以上股权转让方，由转让被收购企业股权比例最大的</w:t>
            </w:r>
            <w:r w:rsidRPr="003C65AD">
              <w:rPr>
                <w:rFonts w:ascii="SimSun" w:eastAsia="SimSun" w:hAnsi="SimSun" w:hint="eastAsia"/>
                <w:szCs w:val="21"/>
              </w:rPr>
              <w:lastRenderedPageBreak/>
              <w:t>一方作为主导方（转让股权比例相同的可协商确定主导方）。</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（三）资产收购，主导方为资产转让方。</w:t>
            </w:r>
          </w:p>
          <w:p w:rsidR="003C65AD" w:rsidRPr="00B245AA" w:rsidRDefault="003C65AD" w:rsidP="003C65AD">
            <w:pPr>
              <w:wordWrap w:val="0"/>
              <w:autoSpaceDE w:val="0"/>
              <w:autoSpaceDN w:val="0"/>
              <w:spacing w:line="290" w:lineRule="atLeast"/>
              <w:rPr>
                <w:rFonts w:ascii="SimSun" w:eastAsia="SimSun" w:hAnsi="SimSun"/>
                <w:spacing w:val="12"/>
                <w:szCs w:val="21"/>
              </w:rPr>
            </w:pPr>
            <w:r w:rsidRPr="003C65AD">
              <w:rPr>
                <w:rFonts w:ascii="SimSun" w:eastAsia="SimSun" w:hAnsi="SimSun" w:hint="eastAsia"/>
                <w:szCs w:val="21"/>
              </w:rPr>
              <w:t xml:space="preserve">　　（四）</w:t>
            </w:r>
            <w:r w:rsidRPr="00B245AA">
              <w:rPr>
                <w:rFonts w:ascii="SimSun" w:eastAsia="SimSun" w:hAnsi="SimSun" w:hint="eastAsia"/>
                <w:spacing w:val="12"/>
                <w:szCs w:val="21"/>
              </w:rPr>
              <w:t>合并，主导方为被合并企业，涉及同一控制下多家被合并企业的，以净资产最大的一方为主导方。</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（五）分立，主导方为被分立企业。</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三、财税〔2009〕59号文件第十一条所称重组业务完成当年，是指重组日所属的企业所得税纳税年度。</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企业重组日的确定，按以下规定处理：</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1.债务重组，以债务重组合同（协议）或法院裁定书生效日为重组日。</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2.股权收购，以转让合同（协议）生效且完成股权变更手续日为重组日。关联企业之间发生股权收购，转让合同（协议）生效后12个月内尚未完成股权变更手续的，应以转让合同（协议）生效日为重组日。</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3.资产收购，以转让合同（协议）生效且当事各方已进行会计处理的日期为重组日。</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4.</w:t>
            </w:r>
            <w:r w:rsidRPr="00B245AA">
              <w:rPr>
                <w:rFonts w:ascii="SimSun" w:eastAsia="SimSun" w:hAnsi="SimSun" w:hint="eastAsia"/>
                <w:spacing w:val="6"/>
                <w:szCs w:val="21"/>
              </w:rPr>
              <w:t>合并，以合并合同（协议）生效、当事各方已进行会计处理且完成工商新设登记或变更登记日为重组日。按规定不需要办理工商新设或变更登记的合并，以合并合同（协议）生效且当事各方已进行会计处理的日期为重组日</w:t>
            </w:r>
            <w:r w:rsidRPr="003C65AD">
              <w:rPr>
                <w:rFonts w:ascii="SimSun" w:eastAsia="SimSun" w:hAnsi="SimSun" w:hint="eastAsia"/>
                <w:szCs w:val="21"/>
              </w:rPr>
              <w:t>。</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5.分立，以分立合同（协议）生效、当事各方已进行会计处理且完成工商新设登记或变更登记日为重组日。</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四、企业重组业务适用特殊性税务处理的，除财税〔2009〕59号文件第四条第（一）项所称企业发生其他法律形式简单改变情形外，重组各方应在该重组业务完成当年，办理企业所得税年度申报时，分别向各自主管税务机关报送《企业重组所得税特殊性税务处理报告表及附表》（详见附件1）和申报资料（详见附件2）。合并、分立中重组一方涉及注销的，应在尚未办理注销税务登记手续前进行申报。</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重组主导方申报后，其他当事方向其主管税务机关办理纳税申报。申报时还应附送重组主导方经主管税务机关受理的《企业重组所得税特殊性税务处理报告表及附表》（复印件）。</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五、企业重组业务适用特殊性税务处理的，申报时，应从以下方面逐条说明企业重组具有合理的商业目的：</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（一）重组交易的方式；</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（二）重组交易的实质结果；</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（三）</w:t>
            </w:r>
            <w:r w:rsidRPr="00B245AA">
              <w:rPr>
                <w:rFonts w:ascii="SimSun" w:eastAsia="SimSun" w:hAnsi="SimSun" w:hint="eastAsia"/>
                <w:spacing w:val="-10"/>
                <w:szCs w:val="21"/>
              </w:rPr>
              <w:t>重组各方涉及的税务状况变化；</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（四）</w:t>
            </w:r>
            <w:r w:rsidRPr="00B245AA">
              <w:rPr>
                <w:rFonts w:ascii="SimSun" w:eastAsia="SimSun" w:hAnsi="SimSun" w:hint="eastAsia"/>
                <w:spacing w:val="-10"/>
                <w:szCs w:val="21"/>
              </w:rPr>
              <w:t>重组各方涉及的财务状况变化；</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（五）</w:t>
            </w:r>
            <w:r w:rsidRPr="00B245AA">
              <w:rPr>
                <w:rFonts w:ascii="SimSun" w:eastAsia="SimSun" w:hAnsi="SimSun" w:hint="eastAsia"/>
                <w:spacing w:val="-16"/>
                <w:szCs w:val="21"/>
              </w:rPr>
              <w:t>非居民企业参与重组活动的情况。</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六、企业重组业务适用特殊性税务处理的，申报时，当事各方还应向主管税务机关提交重组前连续12个月内有无与该重组相关的其他股权、资产交易情况的说明，并说明这些交易与该重组是否构成分步交易，是否作为一项企业重组业务进行处理。</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七、根据财税〔2009〕59号文件第十条规定，若同一项重组业务涉及在连续12个月内分步交易，且跨两个纳税年度，当事各方在首个纳税年度交易完成时预计整个交易符合特殊性税务处理条件，经协商一致选择特殊性税务处理的，可以暂时适用特殊性税务处理，并在当年企业所得税年度申报时提交书面申报资料。</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在下一纳税年度全部交易完成后，企业应判断是否适用特殊性税务处理。如适用特殊性税务处理的，当事各方应按本公告要求申报相关资料；如适用一般性税务处理的，应调整相应纳税年度的企业所得税年度申报表，计算缴纳企业所得税。</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八、企业发生财税〔2009〕59号文件第六条第（一）项规定的债务重组，应准确记录应予确认的债务重组所得，并在相应年度的企业所得税汇算清缴时对当年确认额及分年结转额的情况做出说明。</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主管税务机关应建立台账，对企业每年申报的债务重组所得与台账进行比对分析，加强后续管理。</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九、企业发生财税〔2009〕59号文件第七条第（三）项规定的重组，居民企业应准确记录应予确认的资产或股权转让收益总额，并在相应年度的企业所得税汇算清缴时对当年确认额及分年结转额的情况做出说明。</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主管税务机关应建立台账，对居民企业取得股权的计税基础和每年确认的资产或股权转让收益进行比对分析，加强后续管理。</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十、适用特殊性税务处理的企业，在以后年度转让或处置重组资产（股权）时，应在年度纳税申报时对资产（股权）转让所得或损失情况进行专项说明，包括特殊性税务处理时确定的重组资产（股权）计税基础与转让或处置时的计税基础的比对情况，以及递延所得税负债的处理情况等。</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适用特殊性税务处理的企业，在以后年度转让或处置重组资产（股权）时，主管税务机关应加强评估和检查，将企业特殊性税务处理时确定的重组资产（股权）计税基础与转让或处置时的计税基础及相关的年度纳税申报表比对，发现问题的，应依法进行调整。</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十一、税务机关应对适用特殊性税务处理的企业重组做好统计和相关资料的归档工作。各省、自治区、直辖市和计划单列市国家税务局、地方税务局应于每年8月底前将《企业重组所得税特殊性税务处理统计表》（详见附件3）上报税务总局（所得税司）。</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十二、</w:t>
            </w:r>
            <w:r w:rsidRPr="00891F4C">
              <w:rPr>
                <w:rFonts w:ascii="SimSun" w:eastAsia="SimSun" w:hAnsi="SimSun" w:hint="eastAsia"/>
                <w:spacing w:val="-6"/>
                <w:szCs w:val="21"/>
              </w:rPr>
              <w:t>本公告适用于2015年度及以后年度企业所得税汇算清缴。《国家税务总局关于发布〈企业重组业务企业所得税管理办法〉的公告》（国家税务总局公告2010年第4号）第三条、第七条、第八条、第十六条、第十七条、第十八条、第二十二条、第二十三条、第二十四条、第二十五条、第二十七条、第三十二条同时废止。</w:t>
            </w:r>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本公告施行时企业已经签订重组协议，但尚未完成重组的，按本公告执行。</w:t>
            </w:r>
          </w:p>
          <w:p w:rsidR="003C65AD" w:rsidRPr="003C65AD" w:rsidRDefault="003C65AD" w:rsidP="003C65AD">
            <w:pPr>
              <w:wordWrap w:val="0"/>
              <w:autoSpaceDE w:val="0"/>
              <w:autoSpaceDN w:val="0"/>
              <w:spacing w:line="290" w:lineRule="atLeast"/>
              <w:ind w:firstLine="408"/>
              <w:rPr>
                <w:rFonts w:ascii="SimSun" w:eastAsia="SimSun" w:hAnsi="SimSun"/>
                <w:szCs w:val="21"/>
              </w:rPr>
            </w:pPr>
            <w:r w:rsidRPr="003C65AD">
              <w:rPr>
                <w:rFonts w:ascii="SimSun" w:eastAsia="SimSun" w:hAnsi="SimSun" w:hint="eastAsia"/>
                <w:szCs w:val="21"/>
              </w:rPr>
              <w:t>特此公告。</w:t>
            </w:r>
          </w:p>
          <w:p w:rsidR="003C65AD" w:rsidRPr="003C65AD" w:rsidRDefault="003C65AD" w:rsidP="003C65AD">
            <w:pPr>
              <w:wordWrap w:val="0"/>
              <w:autoSpaceDE w:val="0"/>
              <w:autoSpaceDN w:val="0"/>
              <w:spacing w:line="290" w:lineRule="atLeast"/>
              <w:ind w:firstLine="408"/>
              <w:rPr>
                <w:rFonts w:ascii="SimSun" w:eastAsia="SimSun" w:hAnsi="SimSun"/>
                <w:szCs w:val="21"/>
              </w:rPr>
            </w:pPr>
          </w:p>
          <w:p w:rsidR="00891F4C" w:rsidRDefault="003C65AD" w:rsidP="00891F4C">
            <w:pPr>
              <w:wordWrap w:val="0"/>
              <w:autoSpaceDE w:val="0"/>
              <w:autoSpaceDN w:val="0"/>
              <w:spacing w:line="290" w:lineRule="atLeast"/>
              <w:ind w:firstLine="405"/>
              <w:rPr>
                <w:rFonts w:ascii="SimSun" w:hAnsi="SimSun" w:hint="eastAsia"/>
                <w:szCs w:val="21"/>
              </w:rPr>
            </w:pPr>
            <w:r w:rsidRPr="003C65AD">
              <w:rPr>
                <w:rFonts w:ascii="SimSun" w:eastAsia="SimSun" w:hAnsi="SimSun" w:hint="eastAsia"/>
                <w:szCs w:val="21"/>
              </w:rPr>
              <w:t>附件：</w:t>
            </w:r>
          </w:p>
          <w:p w:rsidR="003C65AD" w:rsidRPr="003C65AD" w:rsidRDefault="003C65AD" w:rsidP="00891F4C">
            <w:pPr>
              <w:wordWrap w:val="0"/>
              <w:autoSpaceDE w:val="0"/>
              <w:autoSpaceDN w:val="0"/>
              <w:spacing w:line="290" w:lineRule="atLeast"/>
              <w:ind w:firstLine="405"/>
              <w:rPr>
                <w:rFonts w:ascii="SimSun" w:eastAsia="SimSun" w:hAnsi="SimSun"/>
                <w:szCs w:val="21"/>
              </w:rPr>
            </w:pPr>
            <w:r w:rsidRPr="003C65AD">
              <w:rPr>
                <w:rFonts w:ascii="SimSun" w:eastAsia="SimSun" w:hAnsi="SimSun" w:hint="eastAsia"/>
                <w:szCs w:val="21"/>
              </w:rPr>
              <w:t>1.企业重组所得税特殊性税务处理报告表及附表</w:t>
            </w:r>
          </w:p>
          <w:p w:rsidR="003C65AD" w:rsidRPr="003C65AD" w:rsidRDefault="003C65AD" w:rsidP="00891F4C">
            <w:pPr>
              <w:wordWrap w:val="0"/>
              <w:autoSpaceDE w:val="0"/>
              <w:autoSpaceDN w:val="0"/>
              <w:spacing w:line="290" w:lineRule="atLeast"/>
              <w:rPr>
                <w:rFonts w:ascii="SimSun" w:eastAsia="SimSun" w:hAnsi="SimSun"/>
                <w:szCs w:val="21"/>
              </w:rPr>
            </w:pPr>
            <w:hyperlink r:id="rId8" w:history="1">
              <w:r w:rsidRPr="003C65AD">
                <w:rPr>
                  <w:rStyle w:val="a4"/>
                  <w:rFonts w:ascii="SimSun" w:eastAsia="SimSun" w:hAnsi="SimSun" w:hint="eastAsia"/>
                  <w:szCs w:val="21"/>
                </w:rPr>
                <w:t>http://www.chinatax.gov.cn/n810341/n810755/c1712189/part/1712207.xls</w:t>
              </w:r>
            </w:hyperlink>
          </w:p>
          <w:p w:rsidR="003C65AD" w:rsidRPr="003C65AD" w:rsidRDefault="00891F4C" w:rsidP="003C65AD">
            <w:pPr>
              <w:wordWrap w:val="0"/>
              <w:autoSpaceDE w:val="0"/>
              <w:autoSpaceDN w:val="0"/>
              <w:spacing w:line="290" w:lineRule="atLeast"/>
              <w:rPr>
                <w:rFonts w:ascii="SimSun" w:eastAsia="SimSun" w:hAnsi="SimSun"/>
                <w:szCs w:val="21"/>
              </w:rPr>
            </w:pPr>
            <w:r>
              <w:rPr>
                <w:rFonts w:ascii="SimSun" w:eastAsia="SimSun" w:hAnsi="SimSun" w:hint="eastAsia"/>
                <w:szCs w:val="21"/>
              </w:rPr>
              <w:t xml:space="preserve">　　</w:t>
            </w:r>
            <w:r w:rsidR="003C65AD" w:rsidRPr="003C65AD">
              <w:rPr>
                <w:rFonts w:ascii="SimSun" w:eastAsia="SimSun" w:hAnsi="SimSun" w:hint="eastAsia"/>
                <w:szCs w:val="21"/>
              </w:rPr>
              <w:t>2.企业重组所得税特殊性税务处理申报资料一览表</w:t>
            </w:r>
          </w:p>
          <w:p w:rsidR="003C65AD" w:rsidRPr="003C65AD" w:rsidRDefault="003C65AD" w:rsidP="00891F4C">
            <w:pPr>
              <w:wordWrap w:val="0"/>
              <w:autoSpaceDE w:val="0"/>
              <w:autoSpaceDN w:val="0"/>
              <w:spacing w:line="290" w:lineRule="atLeast"/>
              <w:rPr>
                <w:rFonts w:ascii="SimSun" w:eastAsia="SimSun" w:hAnsi="SimSun"/>
                <w:szCs w:val="21"/>
              </w:rPr>
            </w:pPr>
            <w:hyperlink r:id="rId9" w:history="1">
              <w:r w:rsidRPr="003C65AD">
                <w:rPr>
                  <w:rStyle w:val="a4"/>
                  <w:rFonts w:ascii="SimSun" w:eastAsia="SimSun" w:hAnsi="SimSun" w:hint="eastAsia"/>
                  <w:szCs w:val="21"/>
                </w:rPr>
                <w:t>http://www.chinatax.gov.cn/n810341/n810755/c1712189/part/1712208.xls</w:t>
              </w:r>
            </w:hyperlink>
          </w:p>
          <w:p w:rsidR="003C65AD" w:rsidRPr="003C65AD" w:rsidRDefault="00891F4C" w:rsidP="003C65AD">
            <w:pPr>
              <w:wordWrap w:val="0"/>
              <w:autoSpaceDE w:val="0"/>
              <w:autoSpaceDN w:val="0"/>
              <w:spacing w:line="290" w:lineRule="atLeast"/>
              <w:rPr>
                <w:rFonts w:ascii="SimSun" w:eastAsia="SimSun" w:hAnsi="SimSun"/>
                <w:szCs w:val="21"/>
              </w:rPr>
            </w:pPr>
            <w:r>
              <w:rPr>
                <w:rFonts w:ascii="SimSun" w:eastAsia="SimSun" w:hAnsi="SimSun" w:hint="eastAsia"/>
                <w:szCs w:val="21"/>
              </w:rPr>
              <w:t xml:space="preserve">　　</w:t>
            </w:r>
            <w:r w:rsidR="003C65AD" w:rsidRPr="003C65AD">
              <w:rPr>
                <w:rFonts w:ascii="SimSun" w:eastAsia="SimSun" w:hAnsi="SimSun" w:hint="eastAsia"/>
                <w:szCs w:val="21"/>
              </w:rPr>
              <w:t>3.企业重组所得税特殊性税务处理统计表</w:t>
            </w:r>
          </w:p>
          <w:p w:rsidR="003C65AD" w:rsidRPr="003C65AD" w:rsidRDefault="003C65AD" w:rsidP="00891F4C">
            <w:pPr>
              <w:wordWrap w:val="0"/>
              <w:autoSpaceDE w:val="0"/>
              <w:autoSpaceDN w:val="0"/>
              <w:spacing w:line="290" w:lineRule="atLeast"/>
              <w:rPr>
                <w:rFonts w:ascii="SimSun" w:eastAsia="SimSun" w:hAnsi="SimSun"/>
                <w:szCs w:val="21"/>
              </w:rPr>
            </w:pPr>
            <w:hyperlink r:id="rId10" w:history="1">
              <w:r w:rsidRPr="003C65AD">
                <w:rPr>
                  <w:rStyle w:val="a4"/>
                  <w:rFonts w:ascii="SimSun" w:eastAsia="SimSun" w:hAnsi="SimSun" w:hint="eastAsia"/>
                  <w:szCs w:val="21"/>
                </w:rPr>
                <w:t>http://www.chinatax.gov.cn/n810341/n810755/c1712189/part/1712209.xls</w:t>
              </w:r>
            </w:hyperlink>
          </w:p>
          <w:p w:rsidR="003C65AD" w:rsidRPr="003C65AD" w:rsidRDefault="003C65AD" w:rsidP="003C65AD">
            <w:pPr>
              <w:wordWrap w:val="0"/>
              <w:autoSpaceDE w:val="0"/>
              <w:autoSpaceDN w:val="0"/>
              <w:spacing w:line="290" w:lineRule="atLeast"/>
              <w:rPr>
                <w:rFonts w:ascii="SimSun" w:eastAsia="SimSun" w:hAnsi="SimSun"/>
                <w:szCs w:val="21"/>
              </w:rPr>
            </w:pPr>
            <w:r w:rsidRPr="003C65AD">
              <w:rPr>
                <w:rFonts w:ascii="SimSun" w:eastAsia="SimSun" w:hAnsi="SimSun" w:hint="eastAsia"/>
                <w:szCs w:val="21"/>
              </w:rPr>
              <w:t xml:space="preserve">　　</w:t>
            </w:r>
          </w:p>
          <w:p w:rsidR="003C65AD" w:rsidRPr="003C65AD" w:rsidRDefault="003C65AD" w:rsidP="00891F4C">
            <w:pPr>
              <w:wordWrap w:val="0"/>
              <w:autoSpaceDE w:val="0"/>
              <w:autoSpaceDN w:val="0"/>
              <w:spacing w:line="290" w:lineRule="atLeast"/>
              <w:jc w:val="right"/>
              <w:rPr>
                <w:rFonts w:ascii="SimSun" w:eastAsia="SimSun" w:hAnsi="SimSun"/>
                <w:szCs w:val="21"/>
              </w:rPr>
            </w:pPr>
            <w:r w:rsidRPr="003C65AD">
              <w:rPr>
                <w:rFonts w:ascii="SimSun" w:eastAsia="SimSun" w:hAnsi="SimSun" w:hint="eastAsia"/>
                <w:szCs w:val="21"/>
              </w:rPr>
              <w:t>国家税务总局</w:t>
            </w:r>
          </w:p>
          <w:p w:rsidR="003C65AD" w:rsidRPr="003C65AD" w:rsidRDefault="003C65AD" w:rsidP="00891F4C">
            <w:pPr>
              <w:wordWrap w:val="0"/>
              <w:autoSpaceDE w:val="0"/>
              <w:autoSpaceDN w:val="0"/>
              <w:spacing w:line="290" w:lineRule="atLeast"/>
              <w:jc w:val="right"/>
              <w:rPr>
                <w:rFonts w:ascii="SimSun" w:eastAsia="SimSun" w:hAnsi="SimSun"/>
                <w:szCs w:val="21"/>
              </w:rPr>
            </w:pPr>
            <w:r w:rsidRPr="003C65AD">
              <w:rPr>
                <w:rFonts w:ascii="SimSun" w:eastAsia="SimSun" w:hAnsi="SimSun" w:hint="eastAsia"/>
                <w:szCs w:val="21"/>
              </w:rPr>
              <w:t>2015年6月24日</w:t>
            </w:r>
          </w:p>
          <w:p w:rsidR="003C65AD" w:rsidRPr="003C65AD" w:rsidRDefault="003C65AD" w:rsidP="003C65AD">
            <w:pPr>
              <w:wordWrap w:val="0"/>
              <w:autoSpaceDE w:val="0"/>
              <w:autoSpaceDN w:val="0"/>
              <w:spacing w:line="290" w:lineRule="atLeast"/>
              <w:rPr>
                <w:rFonts w:ascii="SimSun" w:eastAsia="SimSun" w:hAnsi="SimSun"/>
                <w:szCs w:val="21"/>
              </w:rPr>
            </w:pPr>
          </w:p>
        </w:tc>
      </w:tr>
    </w:tbl>
    <w:p w:rsidR="00100135" w:rsidRDefault="00100135"/>
    <w:sectPr w:rsidR="00100135" w:rsidSect="003C65AD">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74154"/>
    <w:multiLevelType w:val="hybridMultilevel"/>
    <w:tmpl w:val="8B14F2EA"/>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40AF43C2"/>
    <w:multiLevelType w:val="hybridMultilevel"/>
    <w:tmpl w:val="5896FC26"/>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30862EF"/>
    <w:multiLevelType w:val="hybridMultilevel"/>
    <w:tmpl w:val="49C22818"/>
    <w:lvl w:ilvl="0" w:tplc="28F83FEA">
      <w:start w:val="1"/>
      <w:numFmt w:val="decimal"/>
      <w:lvlText w:val="(%1)"/>
      <w:lvlJc w:val="left"/>
      <w:pPr>
        <w:ind w:left="1043" w:hanging="420"/>
      </w:pPr>
      <w:rPr>
        <w:rFonts w:hint="eastAsia"/>
      </w:rPr>
    </w:lvl>
    <w:lvl w:ilvl="1" w:tplc="04090019" w:tentative="1">
      <w:start w:val="1"/>
      <w:numFmt w:val="lowerLetter"/>
      <w:lvlText w:val="%2)"/>
      <w:lvlJc w:val="left"/>
      <w:pPr>
        <w:ind w:left="1463" w:hanging="420"/>
      </w:pPr>
    </w:lvl>
    <w:lvl w:ilvl="2" w:tplc="0409001B" w:tentative="1">
      <w:start w:val="1"/>
      <w:numFmt w:val="lowerRoman"/>
      <w:lvlText w:val="%3."/>
      <w:lvlJc w:val="right"/>
      <w:pPr>
        <w:ind w:left="1883" w:hanging="420"/>
      </w:pPr>
    </w:lvl>
    <w:lvl w:ilvl="3" w:tplc="0409000F" w:tentative="1">
      <w:start w:val="1"/>
      <w:numFmt w:val="decimal"/>
      <w:lvlText w:val="%4."/>
      <w:lvlJc w:val="left"/>
      <w:pPr>
        <w:ind w:left="2303" w:hanging="420"/>
      </w:pPr>
    </w:lvl>
    <w:lvl w:ilvl="4" w:tplc="04090019" w:tentative="1">
      <w:start w:val="1"/>
      <w:numFmt w:val="lowerLetter"/>
      <w:lvlText w:val="%5)"/>
      <w:lvlJc w:val="left"/>
      <w:pPr>
        <w:ind w:left="2723" w:hanging="420"/>
      </w:pPr>
    </w:lvl>
    <w:lvl w:ilvl="5" w:tplc="0409001B" w:tentative="1">
      <w:start w:val="1"/>
      <w:numFmt w:val="lowerRoman"/>
      <w:lvlText w:val="%6."/>
      <w:lvlJc w:val="right"/>
      <w:pPr>
        <w:ind w:left="3143" w:hanging="420"/>
      </w:pPr>
    </w:lvl>
    <w:lvl w:ilvl="6" w:tplc="0409000F" w:tentative="1">
      <w:start w:val="1"/>
      <w:numFmt w:val="decimal"/>
      <w:lvlText w:val="%7."/>
      <w:lvlJc w:val="left"/>
      <w:pPr>
        <w:ind w:left="3563" w:hanging="420"/>
      </w:pPr>
    </w:lvl>
    <w:lvl w:ilvl="7" w:tplc="04090019" w:tentative="1">
      <w:start w:val="1"/>
      <w:numFmt w:val="lowerLetter"/>
      <w:lvlText w:val="%8)"/>
      <w:lvlJc w:val="left"/>
      <w:pPr>
        <w:ind w:left="3983" w:hanging="420"/>
      </w:pPr>
    </w:lvl>
    <w:lvl w:ilvl="8" w:tplc="0409001B" w:tentative="1">
      <w:start w:val="1"/>
      <w:numFmt w:val="lowerRoman"/>
      <w:lvlText w:val="%9."/>
      <w:lvlJc w:val="right"/>
      <w:pPr>
        <w:ind w:left="4403" w:hanging="420"/>
      </w:pPr>
    </w:lvl>
  </w:abstractNum>
  <w:abstractNum w:abstractNumId="3">
    <w:nsid w:val="6BD62D1C"/>
    <w:multiLevelType w:val="hybridMultilevel"/>
    <w:tmpl w:val="8B14F2EA"/>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EDA7886"/>
    <w:multiLevelType w:val="hybridMultilevel"/>
    <w:tmpl w:val="8B14F2EA"/>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3C65AD"/>
    <w:rsid w:val="00100135"/>
    <w:rsid w:val="003C65AD"/>
    <w:rsid w:val="0085683E"/>
    <w:rsid w:val="00891F4C"/>
    <w:rsid w:val="00B245A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5AD"/>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65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3C65AD"/>
    <w:rPr>
      <w:color w:val="0000FF" w:themeColor="hyperlink"/>
      <w:u w:val="single"/>
    </w:rPr>
  </w:style>
  <w:style w:type="paragraph" w:styleId="a5">
    <w:name w:val="List Paragraph"/>
    <w:basedOn w:val="a"/>
    <w:uiPriority w:val="34"/>
    <w:qFormat/>
    <w:rsid w:val="003C65A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n810341/n810755/c1712189/part/1712207.xls" TargetMode="External"/><Relationship Id="rId3" Type="http://schemas.openxmlformats.org/officeDocument/2006/relationships/settings" Target="settings.xml"/><Relationship Id="rId7" Type="http://schemas.openxmlformats.org/officeDocument/2006/relationships/hyperlink" Target="http://www.chinatax.gov.cn/n810341/n810755/c1712189/part/1712209.x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natax.gov.cn/n810341/n810755/c1712189/part/1712208.xls" TargetMode="External"/><Relationship Id="rId11" Type="http://schemas.openxmlformats.org/officeDocument/2006/relationships/fontTable" Target="fontTable.xml"/><Relationship Id="rId5" Type="http://schemas.openxmlformats.org/officeDocument/2006/relationships/hyperlink" Target="http://www.chinatax.gov.cn/n810341/n810755/c1712189/part/1712207.xls" TargetMode="External"/><Relationship Id="rId10" Type="http://schemas.openxmlformats.org/officeDocument/2006/relationships/hyperlink" Target="http://www.chinatax.gov.cn/n810341/n810755/c1712189/part/1712209.xls" TargetMode="External"/><Relationship Id="rId4" Type="http://schemas.openxmlformats.org/officeDocument/2006/relationships/webSettings" Target="webSettings.xml"/><Relationship Id="rId9" Type="http://schemas.openxmlformats.org/officeDocument/2006/relationships/hyperlink" Target="http://www.chinatax.gov.cn/n810341/n810755/c1712189/part/1712208.xls"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1240</Words>
  <Characters>7072</Characters>
  <Application>Microsoft Office Word</Application>
  <DocSecurity>0</DocSecurity>
  <Lines>58</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2015-09-10T01:20:00Z</dcterms:created>
  <dcterms:modified xsi:type="dcterms:W3CDTF">2015-09-10T01:47:00Z</dcterms:modified>
</cp:coreProperties>
</file>