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40639C" w:rsidRPr="0040639C" w:rsidTr="007213BF">
        <w:tc>
          <w:tcPr>
            <w:tcW w:w="4785" w:type="dxa"/>
          </w:tcPr>
          <w:p w:rsidR="0040639C" w:rsidRPr="00493CB7" w:rsidRDefault="0040639C" w:rsidP="00493CB7">
            <w:pPr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</w:pPr>
            <w:r w:rsidRPr="00493CB7">
              <w:rPr>
                <w:rFonts w:ascii="한컴바탕" w:eastAsia="한컴바탕" w:hAnsi="한컴바탕" w:cs="한컴바탕" w:hint="eastAsia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>고정자산</w:t>
            </w:r>
            <w:r w:rsidRPr="00493CB7">
              <w:rPr>
                <w:rFonts w:ascii="한컴바탕" w:eastAsia="한컴바탕" w:hAnsi="한컴바탕" w:cs="한컴바탕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 xml:space="preserve"> </w:t>
            </w:r>
            <w:r w:rsidRPr="00493CB7">
              <w:rPr>
                <w:rFonts w:ascii="한컴바탕" w:eastAsia="한컴바탕" w:hAnsi="한컴바탕" w:cs="한컴바탕" w:hint="eastAsia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>가속감가상각 방법</w:t>
            </w:r>
            <w:r w:rsidRPr="00493CB7">
              <w:rPr>
                <w:rFonts w:ascii="한컴바탕" w:eastAsia="한컴바탕" w:hAnsi="한컴바탕" w:cs="한컴바탕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 xml:space="preserve"> </w:t>
            </w:r>
            <w:r w:rsidRPr="00493CB7">
              <w:rPr>
                <w:rFonts w:ascii="한컴바탕" w:eastAsia="한컴바탕" w:hAnsi="한컴바탕" w:cs="한컴바탕" w:hint="eastAsia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>채택기업의</w:t>
            </w:r>
            <w:r w:rsidRPr="00493CB7">
              <w:rPr>
                <w:rFonts w:ascii="한컴바탕" w:eastAsia="한컴바탕" w:hAnsi="한컴바탕" w:cs="한컴바탕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 xml:space="preserve"> </w:t>
            </w:r>
            <w:r w:rsidRPr="00493CB7">
              <w:rPr>
                <w:rFonts w:ascii="한컴바탕" w:eastAsia="한컴바탕" w:hAnsi="한컴바탕" w:cs="한컴바탕" w:hint="eastAsia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>소득세</w:t>
            </w:r>
            <w:r w:rsidRPr="00493CB7">
              <w:rPr>
                <w:rFonts w:ascii="한컴바탕" w:eastAsia="한컴바탕" w:hAnsi="한컴바탕" w:cs="한컴바탕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 xml:space="preserve"> </w:t>
            </w:r>
            <w:r w:rsidRPr="00493CB7">
              <w:rPr>
                <w:rFonts w:ascii="한컴바탕" w:eastAsia="한컴바탕" w:hAnsi="한컴바탕" w:cs="한컴바탕" w:hint="eastAsia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>정책</w:t>
            </w:r>
            <w:r w:rsidRPr="00493CB7">
              <w:rPr>
                <w:rFonts w:ascii="한컴바탕" w:eastAsia="한컴바탕" w:hAnsi="한컴바탕" w:cs="한컴바탕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 xml:space="preserve"> </w:t>
            </w:r>
            <w:r w:rsidRPr="00493CB7">
              <w:rPr>
                <w:rFonts w:ascii="한컴바탕" w:eastAsia="한컴바탕" w:hAnsi="한컴바탕" w:cs="한컴바탕" w:hint="eastAsia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>진일보</w:t>
            </w:r>
            <w:r w:rsidRPr="00493CB7">
              <w:rPr>
                <w:rFonts w:ascii="한컴바탕" w:eastAsia="한컴바탕" w:hAnsi="한컴바탕" w:cs="한컴바탕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 xml:space="preserve"> </w:t>
            </w:r>
            <w:r w:rsidRPr="00493CB7">
              <w:rPr>
                <w:rFonts w:ascii="한컴바탕" w:eastAsia="한컴바탕" w:hAnsi="한컴바탕" w:cs="한컴바탕" w:hint="eastAsia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>보완에</w:t>
            </w:r>
            <w:r w:rsidRPr="00493CB7">
              <w:rPr>
                <w:rFonts w:ascii="한컴바탕" w:eastAsia="한컴바탕" w:hAnsi="한컴바탕" w:cs="한컴바탕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 xml:space="preserve"> </w:t>
            </w:r>
            <w:r w:rsidRPr="00493CB7">
              <w:rPr>
                <w:rFonts w:ascii="한컴바탕" w:eastAsia="한컴바탕" w:hAnsi="한컴바탕" w:cs="한컴바탕" w:hint="eastAsia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>관한</w:t>
            </w:r>
            <w:r w:rsidRPr="00493CB7">
              <w:rPr>
                <w:rFonts w:ascii="한컴바탕" w:eastAsia="한컴바탕" w:hAnsi="한컴바탕" w:cs="한컴바탕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 xml:space="preserve"> </w:t>
            </w:r>
            <w:r w:rsidRPr="00493CB7">
              <w:rPr>
                <w:rFonts w:ascii="한컴바탕" w:eastAsia="한컴바탕" w:hAnsi="한컴바탕" w:cs="한컴바탕" w:hint="eastAsia"/>
                <w:b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>통지</w:t>
            </w:r>
          </w:p>
          <w:p w:rsidR="0040639C" w:rsidRPr="0040639C" w:rsidRDefault="0040639C" w:rsidP="00493CB7">
            <w:pPr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재세[2015]106호</w:t>
            </w: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각 성</w:t>
            </w:r>
            <w:r w:rsidRPr="0040639C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·</w:t>
            </w:r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자치구</w:t>
            </w:r>
            <w:r w:rsidRPr="0040639C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·</w:t>
            </w:r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직할시</w:t>
            </w:r>
            <w:r w:rsidRPr="0040639C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·</w:t>
            </w:r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 xml:space="preserve">계획단열시의 </w:t>
            </w:r>
            <w:proofErr w:type="spellStart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재정청</w:t>
            </w:r>
            <w:proofErr w:type="spellEnd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(국)·</w:t>
            </w:r>
            <w:proofErr w:type="spellStart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국가세무국</w:t>
            </w:r>
            <w:proofErr w:type="spellEnd"/>
            <w:r w:rsidRPr="0040639C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·</w:t>
            </w:r>
            <w:proofErr w:type="spellStart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지방세무국</w:t>
            </w:r>
            <w:proofErr w:type="spellEnd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, 신장(</w:t>
            </w:r>
            <w:proofErr w:type="spellStart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新疆</w:t>
            </w:r>
            <w:proofErr w:type="spellEnd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)</w:t>
            </w:r>
            <w:proofErr w:type="spellStart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생산건설병단</w:t>
            </w:r>
            <w:proofErr w:type="spellEnd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재무국</w:t>
            </w:r>
            <w:proofErr w:type="spellEnd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:</w:t>
            </w:r>
          </w:p>
          <w:p w:rsidR="00493CB7" w:rsidRDefault="0040639C" w:rsidP="00493CB7">
            <w:pPr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</w:pPr>
            <w:r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  <w:t>국무원 상무회의의 관련 결정의 취지에 근거하여 고정자산 가속감가상각 방법 채택기업의 소득세 정책 문제에 대해 다음과 같이 통지한다.</w:t>
            </w:r>
          </w:p>
          <w:p w:rsidR="00493CB7" w:rsidRDefault="00493CB7" w:rsidP="00493CB7">
            <w:pPr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  <w:t xml:space="preserve">1. </w:t>
            </w:r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  <w:t xml:space="preserve">경공업, 방직, 기계, 자동차 등 </w:t>
            </w:r>
            <w:proofErr w:type="spellStart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  <w:t>네개</w:t>
            </w:r>
            <w:proofErr w:type="spellEnd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  <w:t xml:space="preserve"> 분야의 중점업종(구체적인 범위는 첨부 참조.)을 취급하는 기업이 2015년 1월 1일 이후에 구입한 고정자산은 기업의 선택에 따라 감가상각 내용연수를 단축하거나 가속감가상각 방법을 채택할 수 있다.</w:t>
            </w:r>
          </w:p>
          <w:p w:rsidR="00493CB7" w:rsidRDefault="00493CB7" w:rsidP="00493CB7">
            <w:pPr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  <w:t xml:space="preserve">2. </w:t>
            </w:r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14"/>
                <w:kern w:val="0"/>
                <w:szCs w:val="21"/>
                <w:lang w:eastAsia="ko-KR"/>
              </w:rPr>
              <w:t>상기 업종을 취급하는 소형박리기업이 2015년 1월 1일 이후에 구입한 연구개발 및 생산경영 겸용 기기</w:t>
            </w:r>
            <w:r w:rsidR="0040639C" w:rsidRPr="00493CB7">
              <w:rPr>
                <w:rFonts w:ascii="한컴바탕" w:eastAsia="한컴바탕" w:hAnsi="한컴바탕" w:cs="한컴바탕"/>
                <w:color w:val="000000" w:themeColor="text1"/>
                <w:spacing w:val="-14"/>
                <w:kern w:val="0"/>
                <w:szCs w:val="21"/>
                <w:lang w:eastAsia="ko-KR"/>
              </w:rPr>
              <w:t>·</w:t>
            </w:r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14"/>
                <w:kern w:val="0"/>
                <w:szCs w:val="21"/>
                <w:lang w:eastAsia="ko-KR"/>
              </w:rPr>
              <w:t>설비는 단위가치가 100</w:t>
            </w:r>
            <w:proofErr w:type="spellStart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14"/>
                <w:kern w:val="0"/>
                <w:szCs w:val="21"/>
                <w:lang w:eastAsia="ko-KR"/>
              </w:rPr>
              <w:t>만위안을</w:t>
            </w:r>
            <w:proofErr w:type="spellEnd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14"/>
                <w:kern w:val="0"/>
                <w:szCs w:val="21"/>
                <w:lang w:eastAsia="ko-KR"/>
              </w:rPr>
              <w:t xml:space="preserve"> 초과하지 않을 경우 일회적으로 당기 원가비용에 산입하여 과세대상소득 산정 시 공제하는 것을 허용하고 더 이상 연도별로 </w:t>
            </w:r>
            <w:proofErr w:type="spellStart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14"/>
                <w:kern w:val="0"/>
                <w:szCs w:val="21"/>
                <w:lang w:eastAsia="ko-KR"/>
              </w:rPr>
              <w:t>감가상각하지</w:t>
            </w:r>
            <w:proofErr w:type="spellEnd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14"/>
                <w:kern w:val="0"/>
                <w:szCs w:val="21"/>
                <w:lang w:eastAsia="ko-KR"/>
              </w:rPr>
              <w:t xml:space="preserve"> 아니하며; 단위가치가 100</w:t>
            </w:r>
            <w:proofErr w:type="spellStart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14"/>
                <w:kern w:val="0"/>
                <w:szCs w:val="21"/>
                <w:lang w:eastAsia="ko-KR"/>
              </w:rPr>
              <w:t>만위안을</w:t>
            </w:r>
            <w:proofErr w:type="spellEnd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14"/>
                <w:kern w:val="0"/>
                <w:szCs w:val="21"/>
                <w:lang w:eastAsia="ko-KR"/>
              </w:rPr>
              <w:t xml:space="preserve"> 초과하는 경우 기업의 선택에 따라 감가상각 내용연수를 단축하거나 가속감가상각 방법을 채택할 수 있다.</w:t>
            </w:r>
          </w:p>
          <w:p w:rsidR="00493CB7" w:rsidRDefault="00493CB7" w:rsidP="00493CB7">
            <w:pPr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  <w:t xml:space="preserve">3. </w:t>
            </w:r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kern w:val="0"/>
                <w:szCs w:val="21"/>
                <w:lang w:eastAsia="ko-KR"/>
              </w:rPr>
              <w:t xml:space="preserve">기업이 이 통지 제1조, 제2조의 규정에 따라 감가상각 내용연수를 단축하는 경우 최소의 감가상각 내용연수가 기업소득세법 실시조례 제60조에 규정한 </w:t>
            </w:r>
            <w:proofErr w:type="spellStart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kern w:val="0"/>
                <w:szCs w:val="21"/>
                <w:lang w:eastAsia="ko-KR"/>
              </w:rPr>
              <w:t>감각상각</w:t>
            </w:r>
            <w:proofErr w:type="spellEnd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kern w:val="0"/>
                <w:szCs w:val="21"/>
                <w:lang w:eastAsia="ko-KR"/>
              </w:rPr>
              <w:t xml:space="preserve"> 내용연수의 60%보다 짧아서는 </w:t>
            </w:r>
            <w:proofErr w:type="spellStart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kern w:val="0"/>
                <w:szCs w:val="21"/>
                <w:lang w:eastAsia="ko-KR"/>
              </w:rPr>
              <w:t>아니되며</w:t>
            </w:r>
            <w:proofErr w:type="spellEnd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kern w:val="0"/>
                <w:szCs w:val="21"/>
                <w:lang w:eastAsia="ko-KR"/>
              </w:rPr>
              <w:t xml:space="preserve">; 가속감가상각 방법을 채택하는 경우 </w:t>
            </w:r>
            <w:proofErr w:type="spellStart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kern w:val="0"/>
                <w:szCs w:val="21"/>
                <w:lang w:eastAsia="ko-KR"/>
              </w:rPr>
              <w:t>이중체감잔액법</w:t>
            </w:r>
            <w:proofErr w:type="spellEnd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kern w:val="0"/>
                <w:szCs w:val="21"/>
                <w:lang w:eastAsia="ko-KR"/>
              </w:rPr>
              <w:t xml:space="preserve"> 또는 </w:t>
            </w:r>
            <w:proofErr w:type="spellStart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kern w:val="0"/>
                <w:szCs w:val="21"/>
                <w:lang w:eastAsia="ko-KR"/>
              </w:rPr>
              <w:t>연수합계법을</w:t>
            </w:r>
            <w:proofErr w:type="spellEnd"/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kern w:val="0"/>
                <w:szCs w:val="21"/>
                <w:lang w:eastAsia="ko-KR"/>
              </w:rPr>
              <w:t xml:space="preserve"> 채택할 수 있다.</w:t>
            </w:r>
          </w:p>
          <w:p w:rsidR="00493CB7" w:rsidRDefault="0040639C" w:rsidP="00493CB7">
            <w:pPr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</w:pPr>
            <w:r w:rsidRPr="00493CB7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 xml:space="preserve">기업소득세법 및 그 실시조례의 관련 규정에 따라 기업은 생산경영 수요에 근거하여 가속감가상각 정책을 적용하지 아니할 수 있다. </w:t>
            </w:r>
          </w:p>
          <w:p w:rsidR="0040639C" w:rsidRPr="00493CB7" w:rsidRDefault="00493CB7" w:rsidP="00493CB7">
            <w:pPr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ind w:firstLineChars="200" w:firstLine="396"/>
              <w:rPr>
                <w:rFonts w:ascii="한컴바탕" w:eastAsia="한컴바탕" w:hAnsi="한컴바탕" w:cs="한컴바탕"/>
                <w:color w:val="000000" w:themeColor="text1"/>
                <w:spacing w:val="-6"/>
                <w:kern w:val="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color w:val="000000" w:themeColor="text1"/>
                <w:spacing w:val="-6"/>
                <w:kern w:val="0"/>
                <w:szCs w:val="21"/>
                <w:lang w:eastAsia="ko-KR"/>
              </w:rPr>
              <w:t xml:space="preserve">4. </w:t>
            </w:r>
            <w:r w:rsidR="0040639C" w:rsidRPr="00493CB7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kern w:val="0"/>
                <w:szCs w:val="21"/>
                <w:lang w:eastAsia="ko-KR"/>
              </w:rPr>
              <w:t>이 통지는 2015년 1월 1일부터 집행한다. 2015년 1~3분기에 이 통지의 규정에 따라 계산 및 처리되지 못한 부분은 2015년 4분기 예납신고 시 일괄적으로 혜택을 누리거나 2015년 연말정산 시 일괄적으로 처리할 수 있다.</w:t>
            </w:r>
          </w:p>
          <w:p w:rsidR="0040639C" w:rsidRPr="0040639C" w:rsidRDefault="0040639C" w:rsidP="0040639C">
            <w:pPr>
              <w:pStyle w:val="a4"/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40639C" w:rsidRPr="0040639C" w:rsidRDefault="0040639C" w:rsidP="0040639C">
            <w:pPr>
              <w:pStyle w:val="a4"/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 xml:space="preserve">첨부: 경공업, 방직, 기계, 자동차 </w:t>
            </w:r>
            <w:proofErr w:type="spellStart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네개</w:t>
            </w:r>
            <w:proofErr w:type="spellEnd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 xml:space="preserve"> 분야의 중점업종 범위</w:t>
            </w:r>
          </w:p>
          <w:p w:rsidR="0040639C" w:rsidRPr="0040639C" w:rsidRDefault="0040639C" w:rsidP="0040639C">
            <w:pPr>
              <w:pStyle w:val="a4"/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40639C" w:rsidRPr="0040639C" w:rsidRDefault="0040639C" w:rsidP="00493CB7">
            <w:pPr>
              <w:pStyle w:val="a4"/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proofErr w:type="spellStart"/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재정부</w:t>
            </w:r>
            <w:proofErr w:type="spellEnd"/>
          </w:p>
          <w:p w:rsidR="0040639C" w:rsidRPr="0040639C" w:rsidRDefault="0040639C" w:rsidP="00493CB7">
            <w:pPr>
              <w:pStyle w:val="a4"/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국가세무총국</w:t>
            </w:r>
          </w:p>
          <w:p w:rsidR="0040639C" w:rsidRPr="0040639C" w:rsidRDefault="0040639C" w:rsidP="00493CB7">
            <w:pPr>
              <w:pStyle w:val="a4"/>
              <w:widowControl/>
              <w:shd w:val="clear" w:color="auto" w:fill="FFFFFF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40639C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2015년 9월 17일</w:t>
            </w:r>
          </w:p>
          <w:p w:rsidR="00493CB7" w:rsidRDefault="00493CB7" w:rsidP="0040639C">
            <w:pPr>
              <w:widowControl/>
              <w:shd w:val="clear" w:color="auto" w:fill="FFFFFF"/>
              <w:wordWrap w:val="0"/>
              <w:autoSpaceDN w:val="0"/>
              <w:spacing w:line="290" w:lineRule="atLeast"/>
              <w:ind w:firstLineChars="200" w:firstLine="412"/>
              <w:rPr>
                <w:rFonts w:ascii="한컴바탕" w:eastAsia="한컴바탕" w:hAnsi="한컴바탕" w:cs="한컴바탕" w:hint="eastAsia"/>
                <w:b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N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b/>
                <w:color w:val="333333"/>
                <w:kern w:val="0"/>
                <w:szCs w:val="21"/>
                <w:lang w:eastAsia="ko-KR"/>
              </w:rPr>
            </w:pPr>
            <w:r w:rsidRPr="0040639C">
              <w:rPr>
                <w:rFonts w:ascii="한컴바탕" w:eastAsia="한컴바탕" w:hAnsi="한컴바탕" w:cs="한컴바탕" w:hint="eastAsia"/>
                <w:b/>
                <w:color w:val="333333"/>
                <w:kern w:val="0"/>
                <w:szCs w:val="21"/>
                <w:bdr w:val="none" w:sz="0" w:space="0" w:color="auto" w:frame="1"/>
                <w:lang w:eastAsia="ko-KR"/>
              </w:rPr>
              <w:lastRenderedPageBreak/>
              <w:t>첨부</w:t>
            </w: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N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b/>
                <w:color w:val="333333"/>
                <w:kern w:val="0"/>
                <w:szCs w:val="21"/>
                <w:lang w:eastAsia="ko-KR"/>
              </w:rPr>
            </w:pPr>
            <w:r w:rsidRPr="0040639C">
              <w:rPr>
                <w:rFonts w:ascii="한컴바탕" w:eastAsia="한컴바탕" w:hAnsi="한컴바탕" w:cs="한컴바탕" w:hint="eastAsia"/>
                <w:b/>
                <w:color w:val="000000" w:themeColor="text1"/>
                <w:kern w:val="0"/>
                <w:szCs w:val="21"/>
                <w:lang w:eastAsia="ko-KR"/>
              </w:rPr>
              <w:t xml:space="preserve">경공업, 방직, 기계, 자동차 </w:t>
            </w:r>
            <w:proofErr w:type="spellStart"/>
            <w:r w:rsidRPr="0040639C">
              <w:rPr>
                <w:rFonts w:ascii="한컴바탕" w:eastAsia="한컴바탕" w:hAnsi="한컴바탕" w:cs="한컴바탕" w:hint="eastAsia"/>
                <w:b/>
                <w:color w:val="000000" w:themeColor="text1"/>
                <w:kern w:val="0"/>
                <w:szCs w:val="21"/>
                <w:lang w:eastAsia="ko-KR"/>
              </w:rPr>
              <w:t>네개</w:t>
            </w:r>
            <w:proofErr w:type="spellEnd"/>
            <w:r w:rsidRPr="0040639C">
              <w:rPr>
                <w:rFonts w:ascii="한컴바탕" w:eastAsia="한컴바탕" w:hAnsi="한컴바탕" w:cs="한컴바탕" w:hint="eastAsia"/>
                <w:b/>
                <w:color w:val="000000" w:themeColor="text1"/>
                <w:kern w:val="0"/>
                <w:szCs w:val="21"/>
                <w:lang w:eastAsia="ko-KR"/>
              </w:rPr>
              <w:t xml:space="preserve"> 분야의 중점업종 범위</w:t>
            </w:r>
          </w:p>
          <w:tbl>
            <w:tblPr>
              <w:tblW w:w="455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6"/>
              <w:gridCol w:w="567"/>
              <w:gridCol w:w="567"/>
              <w:gridCol w:w="2278"/>
              <w:gridCol w:w="731"/>
            </w:tblGrid>
            <w:tr w:rsidR="0040639C" w:rsidRPr="0040639C" w:rsidTr="00493CB7">
              <w:trPr>
                <w:tblHeader/>
              </w:trPr>
              <w:tc>
                <w:tcPr>
                  <w:tcW w:w="1700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코 </w:t>
                  </w: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드</w:t>
                  </w:r>
                  <w:proofErr w:type="spellEnd"/>
                </w:p>
              </w:tc>
              <w:tc>
                <w:tcPr>
                  <w:tcW w:w="2498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유 형 명 칭</w:t>
                  </w:r>
                </w:p>
              </w:tc>
              <w:tc>
                <w:tcPr>
                  <w:tcW w:w="802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93CB7" w:rsidP="00493CB7">
                  <w:pPr>
                    <w:widowControl/>
                    <w:wordWrap w:val="0"/>
                    <w:autoSpaceDN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비</w:t>
                  </w:r>
                  <w:r w:rsidR="0040639C"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고</w:t>
                  </w:r>
                </w:p>
              </w:tc>
            </w:tr>
            <w:tr w:rsidR="0040639C" w:rsidRPr="0040639C" w:rsidTr="00493CB7">
              <w:trPr>
                <w:tblHeader/>
              </w:trPr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대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중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소</w:t>
                  </w:r>
                </w:p>
              </w:tc>
              <w:tc>
                <w:tcPr>
                  <w:tcW w:w="2498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802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268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일용화학제품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경공업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2681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93CB7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8"/>
                      <w:kern w:val="0"/>
                      <w:szCs w:val="21"/>
                      <w:lang w:eastAsia="ko-KR"/>
                    </w:rPr>
                  </w:pPr>
                  <w:r w:rsidRPr="00493CB7">
                    <w:rPr>
                      <w:rFonts w:ascii="한컴바탕" w:eastAsia="한컴바탕" w:hAnsi="한컴바탕" w:cs="한컴바탕" w:hint="eastAsia"/>
                      <w:spacing w:val="-8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비누 및 합성세척제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2682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화장품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2683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구강청결용품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2684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향료</w:t>
                  </w:r>
                  <w:r w:rsidRPr="0040639C">
                    <w:rPr>
                      <w:rFonts w:ascii="한컴바탕" w:eastAsia="한컴바탕" w:hAnsi="한컴바탕" w:cs="한컴바탕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·</w:t>
                  </w: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엣센스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2689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93CB7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6"/>
                      <w:kern w:val="0"/>
                      <w:szCs w:val="21"/>
                      <w:lang w:eastAsia="ko-KR"/>
                    </w:rPr>
                  </w:pPr>
                  <w:r w:rsidRPr="00493CB7">
                    <w:rPr>
                      <w:rFonts w:ascii="한컴바탕" w:eastAsia="한컴바탕" w:hAnsi="한컴바탕" w:cs="한컴바탕" w:hint="eastAsia"/>
                      <w:spacing w:val="-6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기타 일용화학제품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27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의약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경공업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271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화학약품원료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272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화학약품제제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273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한약차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274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한약제제 생산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275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동물용 약품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277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93CB7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16"/>
                      <w:kern w:val="0"/>
                      <w:szCs w:val="21"/>
                      <w:lang w:eastAsia="ko-KR"/>
                    </w:rPr>
                  </w:pPr>
                  <w:r w:rsidRPr="00493CB7">
                    <w:rPr>
                      <w:rFonts w:ascii="한컴바탕" w:eastAsia="한컴바탕" w:hAnsi="한컴바탕" w:cs="한컴바탕" w:hint="eastAsia"/>
                      <w:spacing w:val="-16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위생용품 및 의약용품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13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농부식품 가공업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경공업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131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곡물 마제(磨制)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132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사료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133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식물유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134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제당업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135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도축 및 육류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136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수산품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137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93CB7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14"/>
                      <w:kern w:val="0"/>
                      <w:szCs w:val="21"/>
                      <w:lang w:eastAsia="ko-KR"/>
                    </w:rPr>
                  </w:pPr>
                  <w:r w:rsidRPr="00493CB7">
                    <w:rPr>
                      <w:rFonts w:ascii="한컴바탕" w:eastAsia="한컴바탕" w:hAnsi="한컴바탕" w:cs="한컴바탕" w:hint="eastAsia"/>
                      <w:spacing w:val="-14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야채, 과일 및 견과류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139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93CB7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기타 농부식품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1</w:t>
                  </w:r>
                  <w:r w:rsidR="002F7636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식품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경공업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141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베이커리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식품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142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2F7636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14"/>
                      <w:kern w:val="0"/>
                      <w:szCs w:val="21"/>
                      <w:lang w:eastAsia="ko-KR"/>
                    </w:rPr>
                  </w:pPr>
                  <w:r w:rsidRPr="002F7636">
                    <w:rPr>
                      <w:rFonts w:ascii="한컴바탕" w:eastAsia="한컴바탕" w:hAnsi="한컴바탕" w:cs="한컴바탕" w:hint="eastAsia"/>
                      <w:spacing w:val="-14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사탕, </w:t>
                  </w:r>
                  <w:proofErr w:type="spellStart"/>
                  <w:r w:rsidRPr="002F7636">
                    <w:rPr>
                      <w:rFonts w:ascii="한컴바탕" w:eastAsia="한컴바탕" w:hAnsi="한컴바탕" w:cs="한컴바탕" w:hint="eastAsia"/>
                      <w:spacing w:val="-14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초콜렛</w:t>
                  </w:r>
                  <w:proofErr w:type="spellEnd"/>
                  <w:r w:rsidRPr="002F7636">
                    <w:rPr>
                      <w:rFonts w:ascii="한컴바탕" w:eastAsia="한컴바탕" w:hAnsi="한컴바탕" w:cs="한컴바탕" w:hint="eastAsia"/>
                      <w:spacing w:val="-14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및 전과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143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인스턴트 식품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144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유제품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145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통조림 식품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146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조미료, 발효제품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149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기타 식품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17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방직업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방직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171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면(棉) 방직 및 날염 정밀가공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172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모(毛) 방직 및 염색가공 정밀가공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173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마(麻) 방직 및 염색가공 정밀가공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174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실크 방직 및 날염 정밀가공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175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화학섬유 직조 및 날염 정밀가공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176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편직물 또는 코바늘 편직물 및 그 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177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가정용 방직 완제품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178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비(非)가정용 방직 완제품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18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방직복장</w:t>
                  </w:r>
                  <w:r w:rsidRPr="0040639C">
                    <w:rPr>
                      <w:rFonts w:ascii="한컴바탕" w:eastAsia="한컴바탕" w:hAnsi="한컴바탕" w:cs="한컴바탕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·</w:t>
                  </w: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복식업</w:t>
                  </w:r>
                  <w:proofErr w:type="spellEnd"/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방직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181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기계직조 복장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182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편직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또는 코바늘 </w:t>
                  </w: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편직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복장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183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복식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19</w:t>
                  </w:r>
                </w:p>
              </w:tc>
              <w:tc>
                <w:tcPr>
                  <w:tcW w:w="622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피혁·모피·깃털 및 그 제품과 신발 제조업</w:t>
                  </w:r>
                </w:p>
              </w:tc>
              <w:tc>
                <w:tcPr>
                  <w:tcW w:w="802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경공업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191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피혁 무두질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192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피혁제품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193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모피 무두질 가공 및 제품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194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깃털(융) 가공 및 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195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제화업</w:t>
                  </w:r>
                  <w:proofErr w:type="spellEnd"/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20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목재가공 및 목(木)·죽(竹)·등(藤)·종(棕)·초(草) </w:t>
                  </w: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제품업</w:t>
                  </w:r>
                  <w:proofErr w:type="spellEnd"/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경공업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201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목재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202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인조판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203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목제품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204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죽(竹)·등(藤)·종(棕)·초(草) 등 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가구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경공업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211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목재가구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212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2F7636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16"/>
                      <w:kern w:val="16"/>
                      <w:szCs w:val="21"/>
                      <w:lang w:eastAsia="ko-KR"/>
                    </w:rPr>
                  </w:pPr>
                  <w:r w:rsidRPr="002F7636">
                    <w:rPr>
                      <w:rFonts w:ascii="한컴바탕" w:eastAsia="한컴바탕" w:hAnsi="한컴바탕" w:cs="한컴바탕" w:hint="eastAsia"/>
                      <w:spacing w:val="-16"/>
                      <w:kern w:val="16"/>
                      <w:szCs w:val="21"/>
                      <w:bdr w:val="none" w:sz="0" w:space="0" w:color="auto" w:frame="1"/>
                      <w:lang w:eastAsia="ko-KR"/>
                    </w:rPr>
                    <w:t>대나무가구</w:t>
                  </w:r>
                  <w:r w:rsidRPr="002F7636">
                    <w:rPr>
                      <w:rFonts w:ascii="한컴바탕" w:eastAsia="한컴바탕" w:hAnsi="한컴바탕" w:cs="한컴바탕"/>
                      <w:spacing w:val="-16"/>
                      <w:kern w:val="16"/>
                      <w:szCs w:val="21"/>
                      <w:bdr w:val="none" w:sz="0" w:space="0" w:color="auto" w:frame="1"/>
                      <w:lang w:eastAsia="ko-KR"/>
                    </w:rPr>
                    <w:t>·</w:t>
                  </w:r>
                  <w:r w:rsidRPr="002F7636">
                    <w:rPr>
                      <w:rFonts w:ascii="한컴바탕" w:eastAsia="한컴바탕" w:hAnsi="한컴바탕" w:cs="한컴바탕" w:hint="eastAsia"/>
                      <w:spacing w:val="-16"/>
                      <w:kern w:val="16"/>
                      <w:szCs w:val="21"/>
                      <w:bdr w:val="none" w:sz="0" w:space="0" w:color="auto" w:frame="1"/>
                      <w:lang w:eastAsia="ko-KR"/>
                    </w:rPr>
                    <w:t>등나무가구제조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213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금속가구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214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플라스틱가구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219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 xml:space="preserve">　</w:t>
                  </w: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기타 가구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제지업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및 </w:t>
                  </w: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종이제품업</w:t>
                  </w:r>
                  <w:proofErr w:type="spellEnd"/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경공업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221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종이펄프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222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제지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223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종이제품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A632C8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10"/>
                      <w:kern w:val="0"/>
                      <w:szCs w:val="21"/>
                      <w:lang w:eastAsia="ko-KR"/>
                    </w:rPr>
                  </w:pPr>
                  <w:r w:rsidRPr="00A632C8">
                    <w:rPr>
                      <w:rFonts w:ascii="한컴바탕" w:eastAsia="한컴바탕" w:hAnsi="한컴바탕" w:cs="한컴바탕" w:hint="eastAsia"/>
                      <w:b/>
                      <w:bCs/>
                      <w:spacing w:val="-10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인쇄 및 기록매체 </w:t>
                  </w:r>
                  <w:proofErr w:type="spellStart"/>
                  <w:r w:rsidRPr="00A632C8">
                    <w:rPr>
                      <w:rFonts w:ascii="한컴바탕" w:eastAsia="한컴바탕" w:hAnsi="한컴바탕" w:cs="한컴바탕" w:hint="eastAsia"/>
                      <w:b/>
                      <w:bCs/>
                      <w:spacing w:val="-10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복제업</w:t>
                  </w:r>
                  <w:proofErr w:type="spellEnd"/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경공업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231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인쇄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232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제본 및 인쇄 관련 서비스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233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2F7636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기록매체 복제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문교, 공예미술, 체육 및 오락용품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경공업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241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문교 사무용품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242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악기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243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공예미술품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244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체육용품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245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장난감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28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화학섬유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방직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281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섬유소 섬유 원료 및 섬유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282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합성섬유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292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플라스틱 </w:t>
                  </w: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제품업</w:t>
                  </w:r>
                  <w:proofErr w:type="spellEnd"/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경공업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2921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플라스틱 박막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2922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플라스틱 보드, 파이프, 형재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2923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플라스틱 실, 끈 및 </w:t>
                  </w: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편직품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2924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발포플라스틱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2925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플라스틱 인조가죽, 합성가죽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2926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플라스틱 포장박스 및 용기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2927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A632C8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8"/>
                      <w:kern w:val="0"/>
                      <w:szCs w:val="21"/>
                      <w:lang w:eastAsia="ko-KR"/>
                    </w:rPr>
                  </w:pPr>
                  <w:r w:rsidRPr="00A632C8">
                    <w:rPr>
                      <w:rFonts w:ascii="한컴바탕" w:eastAsia="한컴바탕" w:hAnsi="한컴바탕" w:cs="한컴바탕" w:hint="eastAsia"/>
                      <w:spacing w:val="-8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일용 플라스틱 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2928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플라스틱 부품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2929</w:t>
                  </w: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A632C8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10"/>
                      <w:kern w:val="0"/>
                      <w:szCs w:val="21"/>
                      <w:lang w:eastAsia="ko-KR"/>
                    </w:rPr>
                  </w:pPr>
                  <w:r w:rsidRPr="00A632C8">
                    <w:rPr>
                      <w:rFonts w:ascii="한컴바탕" w:eastAsia="한컴바탕" w:hAnsi="한컴바탕" w:cs="한컴바탕" w:hint="eastAsia"/>
                      <w:spacing w:val="-10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기타 플라스틱 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33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금속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기계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331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구조성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금속제품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332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금속공구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333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컨테이너 및 금속포장용기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334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금속 실</w:t>
                  </w:r>
                  <w:r w:rsidRPr="0040639C">
                    <w:rPr>
                      <w:rFonts w:ascii="한컴바탕" w:eastAsia="한컴바탕" w:hAnsi="한컴바탕" w:cs="한컴바탕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·</w:t>
                  </w: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끈 및 그 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335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건축</w:t>
                  </w:r>
                  <w:r w:rsidRPr="0040639C">
                    <w:rPr>
                      <w:rFonts w:ascii="한컴바탕" w:eastAsia="한컴바탕" w:hAnsi="한컴바탕" w:cs="한컴바탕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·</w:t>
                  </w: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안전유지용 금속제품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336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금속 표면처리 및 열처리 가공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337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법랑 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338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금속제 일용품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339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기타 금속제품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34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통용설비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기계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341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A632C8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8"/>
                      <w:kern w:val="0"/>
                      <w:szCs w:val="21"/>
                      <w:lang w:eastAsia="ko-KR"/>
                    </w:rPr>
                  </w:pPr>
                  <w:r w:rsidRPr="00A632C8">
                    <w:rPr>
                      <w:rFonts w:ascii="한컴바탕" w:eastAsia="한컴바탕" w:hAnsi="한컴바탕" w:cs="한컴바탕" w:hint="eastAsia"/>
                      <w:spacing w:val="-8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보일러 및 원동설비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342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금속가공기계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343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A632C8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10"/>
                      <w:kern w:val="0"/>
                      <w:szCs w:val="21"/>
                      <w:lang w:eastAsia="ko-KR"/>
                    </w:rPr>
                  </w:pPr>
                  <w:r w:rsidRPr="00A632C8">
                    <w:rPr>
                      <w:rFonts w:ascii="한컴바탕" w:eastAsia="한컴바탕" w:hAnsi="한컴바탕" w:cs="한컴바탕" w:hint="eastAsia"/>
                      <w:spacing w:val="-10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물품</w:t>
                  </w:r>
                  <w:r w:rsidRPr="00A632C8">
                    <w:rPr>
                      <w:rFonts w:ascii="한컴바탕" w:eastAsia="한컴바탕" w:hAnsi="한컴바탕" w:cs="한컴바탕"/>
                      <w:spacing w:val="-10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·</w:t>
                  </w:r>
                  <w:r w:rsidRPr="00A632C8">
                    <w:rPr>
                      <w:rFonts w:ascii="한컴바탕" w:eastAsia="한컴바탕" w:hAnsi="한컴바탕" w:cs="한컴바탕" w:hint="eastAsia"/>
                      <w:spacing w:val="-10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자재 운반설비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344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펌프, 밸브, 압축기 및 유사 기계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345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베어링, 기어 및 동력 전달 부품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346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건조로, 송풍기, 형기, 포장 등 설비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347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문화</w:t>
                  </w:r>
                  <w:r w:rsidRPr="0040639C">
                    <w:rPr>
                      <w:rFonts w:ascii="한컴바탕" w:eastAsia="한컴바탕" w:hAnsi="한컴바탕" w:cs="한컴바탕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·</w:t>
                  </w: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사무용 기계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348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통용부품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349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기타 통용설비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36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12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자동차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자동차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361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자동차 </w:t>
                  </w: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완성차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362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개조 자동차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363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저속 화물 자동차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364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전차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365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자동차 차체, 트레일러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366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자동차 부품 및 부속품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38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b/>
                      <w:bCs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전기기계 및 기자재 제조업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기계</w:t>
                  </w: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381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전동기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382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송전</w:t>
                  </w:r>
                  <w:r w:rsidRPr="0040639C">
                    <w:rPr>
                      <w:rFonts w:ascii="한컴바탕" w:eastAsia="한컴바탕" w:hAnsi="한컴바탕" w:cs="한컴바탕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·</w:t>
                  </w: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배전 및 통제설비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383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7213BF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spacing w:val="-12"/>
                      <w:kern w:val="0"/>
                      <w:szCs w:val="21"/>
                      <w:lang w:eastAsia="ko-KR"/>
                    </w:rPr>
                  </w:pPr>
                  <w:r w:rsidRPr="007213BF">
                    <w:rPr>
                      <w:rFonts w:ascii="한컴바탕" w:eastAsia="한컴바탕" w:hAnsi="한컴바탕" w:cs="한컴바탕" w:hint="eastAsia"/>
                      <w:spacing w:val="-12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전기선, 전기케이블, 광케이블 및 전공 기자재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384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배터리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385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가정용 전력기구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386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proofErr w:type="spellStart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비전력</w:t>
                  </w:r>
                  <w:proofErr w:type="spellEnd"/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 xml:space="preserve"> 가정용 기구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387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조명기구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493CB7">
              <w:tc>
                <w:tcPr>
                  <w:tcW w:w="4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</w:rPr>
                    <w:t>389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</w:rPr>
                  </w:pPr>
                </w:p>
              </w:tc>
              <w:tc>
                <w:tcPr>
                  <w:tcW w:w="2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A632C8">
                  <w:pPr>
                    <w:widowControl/>
                    <w:wordWrap w:val="0"/>
                    <w:autoSpaceDN w:val="0"/>
                    <w:spacing w:line="290" w:lineRule="atLeast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한컴바탕" w:eastAsia="한컴바탕" w:hAnsi="한컴바탕" w:cs="한컴바탕" w:hint="eastAsia"/>
                      <w:kern w:val="0"/>
                      <w:szCs w:val="21"/>
                      <w:bdr w:val="none" w:sz="0" w:space="0" w:color="auto" w:frame="1"/>
                      <w:lang w:eastAsia="ko-KR"/>
                    </w:rPr>
                    <w:t>기타 전기기계 및 기자재 제조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N w:val="0"/>
                    <w:spacing w:line="290" w:lineRule="atLeast"/>
                    <w:ind w:firstLineChars="200" w:firstLine="420"/>
                    <w:rPr>
                      <w:rFonts w:ascii="한컴바탕" w:eastAsia="한컴바탕" w:hAnsi="한컴바탕" w:cs="한컴바탕"/>
                      <w:kern w:val="0"/>
                      <w:szCs w:val="21"/>
                      <w:lang w:eastAsia="ko-KR"/>
                    </w:rPr>
                  </w:pPr>
                </w:p>
              </w:tc>
            </w:tr>
          </w:tbl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bdr w:val="none" w:sz="0" w:space="0" w:color="auto" w:frame="1"/>
                <w:lang w:eastAsia="ko-KR"/>
              </w:rPr>
            </w:pP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bdr w:val="none" w:sz="0" w:space="0" w:color="auto" w:frame="1"/>
                <w:lang w:eastAsia="ko-KR"/>
              </w:rPr>
            </w:pPr>
            <w:r w:rsidRPr="0040639C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bdr w:val="none" w:sz="0" w:space="0" w:color="auto" w:frame="1"/>
                <w:lang w:eastAsia="ko-KR"/>
              </w:rPr>
              <w:t>注: 이상 코드와 유형명칭의 출처는 &lt;국민경제업종분류</w:t>
            </w:r>
            <w:r w:rsidR="007213B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bdr w:val="none" w:sz="0" w:space="0" w:color="auto" w:frame="1"/>
                <w:lang w:eastAsia="ko-KR"/>
              </w:rPr>
              <w:t>(</w:t>
            </w:r>
            <w:r w:rsidRPr="0040639C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bdr w:val="none" w:sz="0" w:space="0" w:color="auto" w:frame="1"/>
                <w:lang w:eastAsia="ko-KR"/>
              </w:rPr>
              <w:t>GB/T 4754-2011)&gt;임.</w:t>
            </w:r>
          </w:p>
          <w:p w:rsidR="0040639C" w:rsidRPr="0040639C" w:rsidRDefault="0040639C" w:rsidP="007213BF">
            <w:pPr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40639C" w:rsidRPr="0040639C" w:rsidRDefault="0040639C" w:rsidP="0040639C">
            <w:pPr>
              <w:wordWrap w:val="0"/>
              <w:autoSpaceDE w:val="0"/>
              <w:autoSpaceDN w:val="0"/>
              <w:spacing w:line="290" w:lineRule="atLeast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40639C" w:rsidRPr="0040639C" w:rsidRDefault="0040639C" w:rsidP="00493CB7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 w:cs="SimSun"/>
                <w:b/>
                <w:color w:val="000000" w:themeColor="text1"/>
                <w:kern w:val="0"/>
                <w:sz w:val="26"/>
                <w:szCs w:val="26"/>
              </w:rPr>
            </w:pPr>
            <w:r w:rsidRPr="0040639C">
              <w:rPr>
                <w:rFonts w:ascii="SimSun" w:eastAsia="SimSun" w:hAnsi="SimSun" w:cs="새굴림" w:hint="eastAsia"/>
                <w:b/>
                <w:color w:val="000000" w:themeColor="text1"/>
                <w:kern w:val="0"/>
                <w:sz w:val="26"/>
                <w:szCs w:val="26"/>
              </w:rPr>
              <w:t>关于进一步完善固定资产加速折旧企业</w:t>
            </w:r>
            <w:r w:rsidRPr="0040639C">
              <w:rPr>
                <w:rFonts w:ascii="SimSun" w:eastAsia="SimSun" w:hAnsi="SimSun" w:cs="바탕" w:hint="eastAsia"/>
                <w:b/>
                <w:color w:val="000000" w:themeColor="text1"/>
                <w:kern w:val="0"/>
                <w:sz w:val="26"/>
                <w:szCs w:val="26"/>
              </w:rPr>
              <w:t>所得</w:t>
            </w:r>
            <w:r w:rsidRPr="0040639C">
              <w:rPr>
                <w:rFonts w:ascii="SimSun" w:eastAsia="SimSun" w:hAnsi="SimSun" w:cs="새굴림" w:hint="eastAsia"/>
                <w:b/>
                <w:color w:val="000000" w:themeColor="text1"/>
                <w:kern w:val="0"/>
                <w:sz w:val="26"/>
                <w:szCs w:val="26"/>
              </w:rPr>
              <w:t>税政策的通知</w:t>
            </w:r>
          </w:p>
          <w:p w:rsidR="0040639C" w:rsidRPr="0040639C" w:rsidRDefault="0040639C" w:rsidP="00493CB7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财税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〔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2015〕106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号</w:t>
            </w: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各省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自治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区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直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辖市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计划单列市财政厅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（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局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）、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国家税务局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地方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税务局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新疆生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产建设兵团财务局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：</w:t>
            </w: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根据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国务院常务会议的有关决定精神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现就有关固定资产加速折旧企业所得税政策问题通知如下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：</w:t>
            </w: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一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对轻工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纺织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机械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汽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车等四个领域重点行业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（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具体范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围见附件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）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的企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业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2015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年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1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月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1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日后新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购进的固定资产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可由企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业选择缩短折旧年限或采取加速折旧的方法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。</w:t>
            </w: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二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对上述行业的小型微利企业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2015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年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1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月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1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日后新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购进的研发和生产经营共用的仪器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设备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单位价值不超过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100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万元的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许一次性计入当期成本费用在计算应纳税所得额时扣除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不再分年度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计算折旧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；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单位价值超过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100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万元的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可由企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业选择缩短折旧年限或采取加速折旧的方法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。</w:t>
            </w: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三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业按本通知第一条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第二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条规定缩短折旧年限的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最低折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旧年限不得低于企业所得税法实施条例第六十条规定折旧年限的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60%；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采取加速折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旧方法的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可采取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双倍余额递减法或者年数总和法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。</w:t>
            </w: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按照企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业所得税法及其实施条例有关规定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业根据自身生产经营需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要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也可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选择不实行加速折旧政策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。</w:t>
            </w: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四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本通知自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2015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年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1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月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1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日起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执行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。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2015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年前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3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季度按本通知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规定未能计算办理的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，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统一在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2015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年第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4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季度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预缴申报时享受优惠或</w:t>
            </w: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2015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年度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汇算清缴时办理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。</w:t>
            </w: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ind w:firstLine="405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ind w:firstLine="405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附件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：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轻工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纺织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机械</w:t>
            </w:r>
            <w:r w:rsidRPr="0040639C">
              <w:rPr>
                <w:rFonts w:ascii="SimSun" w:eastAsia="SimSun" w:hAnsi="SimSun" w:cs="맑은 고딕" w:hint="eastAsia"/>
                <w:color w:val="000000" w:themeColor="text1"/>
                <w:kern w:val="0"/>
                <w:szCs w:val="21"/>
              </w:rPr>
              <w:t>、</w:t>
            </w:r>
            <w:r w:rsidRPr="0040639C">
              <w:rPr>
                <w:rFonts w:ascii="SimSun" w:eastAsia="SimSun" w:hAnsi="SimSun" w:cs="바탕" w:hint="eastAsia"/>
                <w:color w:val="000000" w:themeColor="text1"/>
                <w:kern w:val="0"/>
                <w:szCs w:val="21"/>
              </w:rPr>
              <w:t>汽</w:t>
            </w:r>
            <w:r w:rsidRPr="0040639C">
              <w:rPr>
                <w:rFonts w:ascii="SimSun" w:eastAsia="SimSun" w:hAnsi="SimSun" w:cs="새굴림" w:hint="eastAsia"/>
                <w:color w:val="000000" w:themeColor="text1"/>
                <w:kern w:val="0"/>
                <w:szCs w:val="21"/>
              </w:rPr>
              <w:t>车四个领域重点行业范围</w:t>
            </w:r>
          </w:p>
          <w:p w:rsidR="0040639C" w:rsidRP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ind w:firstLine="405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</w:p>
          <w:p w:rsidR="0040639C" w:rsidRPr="0040639C" w:rsidRDefault="0040639C" w:rsidP="00493CB7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 xml:space="preserve">财政部　</w:t>
            </w:r>
          </w:p>
          <w:p w:rsidR="0040639C" w:rsidRPr="0040639C" w:rsidRDefault="0040639C" w:rsidP="00493CB7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国家税务总局</w:t>
            </w:r>
          </w:p>
          <w:p w:rsidR="0040639C" w:rsidRPr="0040639C" w:rsidRDefault="0040639C" w:rsidP="00493CB7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40639C">
              <w:rPr>
                <w:rFonts w:ascii="SimSun" w:eastAsia="SimSun" w:hAnsi="SimSun" w:cs="SimSun" w:hint="eastAsia"/>
                <w:color w:val="000000" w:themeColor="text1"/>
                <w:kern w:val="0"/>
                <w:szCs w:val="21"/>
              </w:rPr>
              <w:t>2015年9月17日</w:t>
            </w:r>
          </w:p>
          <w:p w:rsidR="0040639C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cs="SimSun" w:hint="eastAsia"/>
                <w:color w:val="000000" w:themeColor="text1"/>
                <w:kern w:val="0"/>
                <w:szCs w:val="21"/>
                <w:lang w:eastAsia="ko-KR"/>
              </w:rPr>
            </w:pPr>
          </w:p>
          <w:p w:rsidR="007213BF" w:rsidRPr="007213BF" w:rsidRDefault="007213BF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cs="SimSun" w:hint="eastAsia"/>
                <w:color w:val="000000" w:themeColor="text1"/>
                <w:kern w:val="0"/>
                <w:szCs w:val="21"/>
                <w:lang w:eastAsia="ko-KR"/>
              </w:rPr>
            </w:pPr>
          </w:p>
          <w:p w:rsidR="0040639C" w:rsidRPr="00493CB7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 w:cs="SimSun"/>
                <w:b/>
                <w:color w:val="333333"/>
                <w:kern w:val="0"/>
                <w:szCs w:val="21"/>
              </w:rPr>
            </w:pPr>
            <w:r w:rsidRPr="0040639C">
              <w:rPr>
                <w:rFonts w:ascii="SimSun" w:eastAsia="SimSun" w:hAnsi="SimSun" w:cs="Arial" w:hint="eastAsia"/>
                <w:color w:val="333333"/>
                <w:kern w:val="0"/>
                <w:szCs w:val="21"/>
                <w:bdr w:val="none" w:sz="0" w:space="0" w:color="auto" w:frame="1"/>
              </w:rPr>
              <w:lastRenderedPageBreak/>
              <w:t xml:space="preserve">　　</w:t>
            </w:r>
            <w:r w:rsidRPr="00493CB7">
              <w:rPr>
                <w:rFonts w:ascii="SimSun" w:eastAsia="SimSun" w:hAnsi="SimSun" w:cs="Arial" w:hint="eastAsia"/>
                <w:b/>
                <w:color w:val="333333"/>
                <w:kern w:val="0"/>
                <w:szCs w:val="21"/>
                <w:bdr w:val="none" w:sz="0" w:space="0" w:color="auto" w:frame="1"/>
              </w:rPr>
              <w:t>附件</w:t>
            </w:r>
          </w:p>
          <w:p w:rsidR="0040639C" w:rsidRPr="00493CB7" w:rsidRDefault="0040639C" w:rsidP="00493CB7">
            <w:pPr>
              <w:widowControl/>
              <w:shd w:val="clear" w:color="auto" w:fill="FFFFFF"/>
              <w:wordWrap w:val="0"/>
              <w:autoSpaceDE w:val="0"/>
              <w:autoSpaceDN w:val="0"/>
              <w:spacing w:line="290" w:lineRule="atLeast"/>
              <w:ind w:firstLineChars="196" w:firstLine="413"/>
              <w:rPr>
                <w:rFonts w:ascii="SimSun" w:eastAsia="SimSun" w:hAnsi="SimSun" w:cs="SimSun"/>
                <w:b/>
                <w:color w:val="333333"/>
                <w:kern w:val="0"/>
                <w:szCs w:val="21"/>
              </w:rPr>
            </w:pPr>
            <w:r w:rsidRPr="00493CB7">
              <w:rPr>
                <w:rFonts w:ascii="SimSun" w:eastAsia="SimSun" w:hAnsi="SimSun" w:cs="SimSun" w:hint="eastAsia"/>
                <w:b/>
                <w:color w:val="333333"/>
                <w:kern w:val="0"/>
                <w:szCs w:val="21"/>
                <w:bdr w:val="none" w:sz="0" w:space="0" w:color="auto" w:frame="1"/>
              </w:rPr>
              <w:t>轻工、纺织、机械、汽车四个领域重点行业范围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2"/>
              <w:gridCol w:w="460"/>
              <w:gridCol w:w="567"/>
              <w:gridCol w:w="1842"/>
              <w:gridCol w:w="551"/>
            </w:tblGrid>
            <w:tr w:rsidR="0040639C" w:rsidRPr="0040639C" w:rsidTr="002F7636">
              <w:trPr>
                <w:tblHeader/>
              </w:trPr>
              <w:tc>
                <w:tcPr>
                  <w:tcW w:w="1785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代　　码</w:t>
                  </w:r>
                </w:p>
              </w:tc>
              <w:tc>
                <w:tcPr>
                  <w:tcW w:w="2474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类　别　名　称</w:t>
                  </w:r>
                </w:p>
              </w:tc>
              <w:tc>
                <w:tcPr>
                  <w:tcW w:w="74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备注</w:t>
                  </w:r>
                </w:p>
              </w:tc>
            </w:tr>
            <w:tr w:rsidR="0040639C" w:rsidRPr="0040639C" w:rsidTr="002F7636">
              <w:trPr>
                <w:tblHeader/>
              </w:trPr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93CB7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hAnsi="SimSun" w:cs="SimSun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大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93CB7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hAnsi="SimSun" w:cs="SimSun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中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93CB7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hAnsi="SimSun" w:cs="SimSun"/>
                      <w:kern w:val="0"/>
                      <w:szCs w:val="21"/>
                      <w:lang w:eastAsia="ko-KR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小</w:t>
                  </w:r>
                </w:p>
              </w:tc>
              <w:tc>
                <w:tcPr>
                  <w:tcW w:w="2474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40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268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日用化学产品制造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轻工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2681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93CB7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20"/>
                      <w:kern w:val="0"/>
                      <w:szCs w:val="21"/>
                    </w:rPr>
                  </w:pPr>
                  <w:r w:rsidRPr="00493CB7">
                    <w:rPr>
                      <w:rFonts w:ascii="SimSun" w:eastAsia="SimSun" w:hAnsi="SimSun" w:cs="SimSun" w:hint="eastAsia"/>
                      <w:spacing w:val="-20"/>
                      <w:kern w:val="0"/>
                      <w:szCs w:val="21"/>
                      <w:bdr w:val="none" w:sz="0" w:space="0" w:color="auto" w:frame="1"/>
                    </w:rPr>
                    <w:t>肥皂及合成洗涤剂制造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2682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化妆品制造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2683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口腔清洁用品制造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2684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香料、香精制造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2689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93CB7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16"/>
                      <w:kern w:val="0"/>
                      <w:szCs w:val="21"/>
                    </w:rPr>
                  </w:pPr>
                  <w:r w:rsidRPr="00493CB7">
                    <w:rPr>
                      <w:rFonts w:ascii="SimSun" w:eastAsia="SimSun" w:hAnsi="SimSun" w:cs="SimSun" w:hint="eastAsia"/>
                      <w:spacing w:val="-16"/>
                      <w:kern w:val="0"/>
                      <w:szCs w:val="21"/>
                      <w:bdr w:val="none" w:sz="0" w:space="0" w:color="auto" w:frame="1"/>
                    </w:rPr>
                    <w:t>其他日用化学产品制造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27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医药制造业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轻工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271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93CB7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8"/>
                      <w:kern w:val="0"/>
                      <w:szCs w:val="21"/>
                    </w:rPr>
                  </w:pPr>
                  <w:r w:rsidRPr="00493CB7">
                    <w:rPr>
                      <w:rFonts w:ascii="SimSun" w:eastAsia="SimSun" w:hAnsi="SimSun" w:cs="SimSun" w:hint="eastAsia"/>
                      <w:spacing w:val="-8"/>
                      <w:kern w:val="0"/>
                      <w:szCs w:val="21"/>
                      <w:bdr w:val="none" w:sz="0" w:space="0" w:color="auto" w:frame="1"/>
                    </w:rPr>
                    <w:t>化学药品原料药制造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272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化学药品制剂制造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273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中药饮片加工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274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中成药生产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275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兽用药品制造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277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93CB7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24"/>
                      <w:kern w:val="0"/>
                      <w:szCs w:val="21"/>
                    </w:rPr>
                  </w:pPr>
                  <w:r w:rsidRPr="00493CB7">
                    <w:rPr>
                      <w:rFonts w:ascii="SimSun" w:eastAsia="SimSun" w:hAnsi="SimSun" w:cs="SimSun" w:hint="eastAsia"/>
                      <w:spacing w:val="-24"/>
                      <w:kern w:val="0"/>
                      <w:szCs w:val="21"/>
                      <w:bdr w:val="none" w:sz="0" w:space="0" w:color="auto" w:frame="1"/>
                    </w:rPr>
                    <w:t>卫生材料及医药用品制造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13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农副食品加工业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轻工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131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谷物磨制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132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饲料加工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133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植物油加工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134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制糖业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135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屠宰及肉类加工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136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水产品加工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137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2F7636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16"/>
                      <w:kern w:val="0"/>
                      <w:szCs w:val="21"/>
                    </w:rPr>
                  </w:pPr>
                  <w:r w:rsidRPr="002F7636">
                    <w:rPr>
                      <w:rFonts w:ascii="SimSun" w:eastAsia="SimSun" w:hAnsi="SimSun" w:cs="SimSun" w:hint="eastAsia"/>
                      <w:spacing w:val="-16"/>
                      <w:kern w:val="0"/>
                      <w:szCs w:val="21"/>
                      <w:bdr w:val="none" w:sz="0" w:space="0" w:color="auto" w:frame="1"/>
                    </w:rPr>
                    <w:t>蔬菜、水果和坚果加工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139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其他农副食品加工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14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食品制造业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轻工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141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焙烤食品制造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142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2F7636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24"/>
                      <w:kern w:val="0"/>
                      <w:szCs w:val="21"/>
                    </w:rPr>
                  </w:pPr>
                  <w:r w:rsidRPr="002F7636">
                    <w:rPr>
                      <w:rFonts w:ascii="SimSun" w:eastAsia="SimSun" w:hAnsi="SimSun" w:cs="SimSun" w:hint="eastAsia"/>
                      <w:spacing w:val="-24"/>
                      <w:kern w:val="0"/>
                      <w:szCs w:val="21"/>
                      <w:bdr w:val="none" w:sz="0" w:space="0" w:color="auto" w:frame="1"/>
                    </w:rPr>
                    <w:t>糖果、巧克力及蜜饯制造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143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方便食品制造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144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乳制品制造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145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罐头食品制造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146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2F7636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20"/>
                      <w:kern w:val="0"/>
                      <w:szCs w:val="21"/>
                    </w:rPr>
                  </w:pPr>
                  <w:r w:rsidRPr="002F7636">
                    <w:rPr>
                      <w:rFonts w:ascii="SimSun" w:eastAsia="SimSun" w:hAnsi="SimSun" w:cs="SimSun" w:hint="eastAsia"/>
                      <w:spacing w:val="-20"/>
                      <w:kern w:val="0"/>
                      <w:szCs w:val="21"/>
                      <w:bdr w:val="none" w:sz="0" w:space="0" w:color="auto" w:frame="1"/>
                    </w:rPr>
                    <w:t>调味品、发酵制品制造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149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其他食品制造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17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纺织业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纺织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171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棉纺织及印染精加工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172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毛纺织及染整精加工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173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麻纺织及染整精加工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174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丝绢纺织及印染精加工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175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化纤织造及印染精加工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176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针织或钩针编织物及其制品制造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177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家用纺织制成品制造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178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非家用纺织制成品制造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18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纺织服装、服饰业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纺织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181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机织服装制造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182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针织或钩针编织服装制造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183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服饰制造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19</w:t>
                  </w:r>
                </w:p>
              </w:tc>
              <w:tc>
                <w:tcPr>
                  <w:tcW w:w="618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皮革、毛皮、羽毛及其制品和制鞋业</w:t>
                  </w:r>
                </w:p>
              </w:tc>
              <w:tc>
                <w:tcPr>
                  <w:tcW w:w="740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轻工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191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皮革鞣制加工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192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皮革制品制造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193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毛皮鞣制及制品加工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194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羽毛(绒)加工及制品制造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195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制鞋业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20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木材加工和木、竹、藤、棕、草制品业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轻工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201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木材加工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202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人造板制造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203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木制品制造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204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竹、藤、棕、草等制品制造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21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家具制造业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轻工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211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木质家具制造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212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竹、藤家具制造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213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金属家具制造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214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塑料家具制造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219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其他家具制造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22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造纸和纸制品业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轻工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221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 xml:space="preserve">　纸浆制造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222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 xml:space="preserve">　造纸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223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 xml:space="preserve">　纸制品制造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23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A632C8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20"/>
                      <w:kern w:val="0"/>
                      <w:szCs w:val="21"/>
                    </w:rPr>
                  </w:pPr>
                  <w:r w:rsidRPr="00A632C8">
                    <w:rPr>
                      <w:rFonts w:ascii="SimSun" w:eastAsia="SimSun" w:hAnsi="SimSun" w:cs="SimSun" w:hint="eastAsia"/>
                      <w:b/>
                      <w:bCs/>
                      <w:spacing w:val="-20"/>
                      <w:kern w:val="0"/>
                      <w:szCs w:val="21"/>
                      <w:bdr w:val="none" w:sz="0" w:space="0" w:color="auto" w:frame="1"/>
                    </w:rPr>
                    <w:t>印刷和记录媒介复制业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轻工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231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印刷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232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装订及印刷相关服务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233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记录媒介复制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24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文教、工美、体育和娱乐用品制造业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轻工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241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文教办公用品制造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242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乐器制造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243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工艺美术品制造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244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体育用品制造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245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玩具制造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28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化学纤维制造业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纺织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281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纤维素纤维原料及纤维制造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282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成纤维制造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292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塑料制品业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轻工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2921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塑料薄膜制造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2922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塑料板、管、型材制造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2923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塑料丝、绳及编织品制造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2924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泡沫塑料制造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2925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塑料人造革、合成革制造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2926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塑料包装箱及容器制造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2927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日用塑料制品制造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2928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塑料零件制造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2929</w:t>
                  </w: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其他塑料制品制造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33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金属制品业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机械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331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A632C8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10"/>
                      <w:kern w:val="0"/>
                      <w:szCs w:val="21"/>
                    </w:rPr>
                  </w:pPr>
                  <w:r w:rsidRPr="00A632C8">
                    <w:rPr>
                      <w:rFonts w:ascii="SimSun" w:eastAsia="SimSun" w:hAnsi="SimSun" w:cs="SimSun" w:hint="eastAsia"/>
                      <w:spacing w:val="-10"/>
                      <w:kern w:val="0"/>
                      <w:szCs w:val="21"/>
                      <w:bdr w:val="none" w:sz="0" w:space="0" w:color="auto" w:frame="1"/>
                    </w:rPr>
                    <w:t>结构性金属制品制造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332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金属工具制造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333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集装箱及金属包装容器制造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334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金属丝绳及其制品制造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335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建筑、安全用金属制品制造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336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金属表面处理及热处理加工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337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搪瓷制品制造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338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金属制日用品制造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339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其他金属制品制造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34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通用设备制造业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机械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341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A632C8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10"/>
                      <w:kern w:val="0"/>
                      <w:szCs w:val="21"/>
                    </w:rPr>
                  </w:pPr>
                  <w:r w:rsidRPr="00A632C8">
                    <w:rPr>
                      <w:rFonts w:ascii="SimSun" w:eastAsia="SimSun" w:hAnsi="SimSun" w:cs="SimSun" w:hint="eastAsia"/>
                      <w:spacing w:val="-10"/>
                      <w:kern w:val="0"/>
                      <w:szCs w:val="21"/>
                      <w:bdr w:val="none" w:sz="0" w:space="0" w:color="auto" w:frame="1"/>
                    </w:rPr>
                    <w:t>锅炉及原动设备制造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342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金属加工机械制造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343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物料搬运设备制造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344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泵、阀门、压缩机及类似机械制造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345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轴承、齿轮和传动部件制造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346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A632C8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10"/>
                      <w:kern w:val="0"/>
                      <w:szCs w:val="21"/>
                    </w:rPr>
                  </w:pPr>
                  <w:r w:rsidRPr="00A632C8">
                    <w:rPr>
                      <w:rFonts w:ascii="SimSun" w:eastAsia="SimSun" w:hAnsi="SimSun" w:cs="SimSun" w:hint="eastAsia"/>
                      <w:spacing w:val="-10"/>
                      <w:kern w:val="0"/>
                      <w:szCs w:val="21"/>
                      <w:bdr w:val="none" w:sz="0" w:space="0" w:color="auto" w:frame="1"/>
                    </w:rPr>
                    <w:t>烘炉、风机、衡器、包装等设备制造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347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A632C8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16"/>
                      <w:kern w:val="0"/>
                      <w:szCs w:val="21"/>
                    </w:rPr>
                  </w:pPr>
                  <w:r w:rsidRPr="00A632C8">
                    <w:rPr>
                      <w:rFonts w:ascii="SimSun" w:eastAsia="SimSun" w:hAnsi="SimSun" w:cs="SimSun" w:hint="eastAsia"/>
                      <w:spacing w:val="-16"/>
                      <w:kern w:val="0"/>
                      <w:szCs w:val="21"/>
                      <w:bdr w:val="none" w:sz="0" w:space="0" w:color="auto" w:frame="1"/>
                    </w:rPr>
                    <w:t>文化、办公用机械制造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348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通用零部件制造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349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A632C8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spacing w:val="-11"/>
                      <w:kern w:val="0"/>
                      <w:szCs w:val="21"/>
                    </w:rPr>
                  </w:pPr>
                  <w:r w:rsidRPr="00A632C8">
                    <w:rPr>
                      <w:rFonts w:ascii="SimSun" w:eastAsia="SimSun" w:hAnsi="SimSun" w:cs="SimSun" w:hint="eastAsia"/>
                      <w:spacing w:val="-11"/>
                      <w:kern w:val="0"/>
                      <w:szCs w:val="21"/>
                      <w:bdr w:val="none" w:sz="0" w:space="0" w:color="auto" w:frame="1"/>
                    </w:rPr>
                    <w:t>其他通用设备制造业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36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汽车制造业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汽车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361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汽车整车制造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362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改装汽车制造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363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低速载货汽车制造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364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电车制造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365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汽车车身、挂车制造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366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汽车零部件及配件制造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38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b/>
                      <w:bCs/>
                      <w:kern w:val="0"/>
                      <w:szCs w:val="21"/>
                      <w:bdr w:val="none" w:sz="0" w:space="0" w:color="auto" w:frame="1"/>
                    </w:rPr>
                    <w:t>电气机械和器材制造业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机械</w:t>
                  </w: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381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电机制造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382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输配电及控制设备制造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383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电线、电缆、光缆及电工器材制造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384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电池制造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385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家用电力器具制造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386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非电力家用器具制造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387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照明器具制造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  <w:tr w:rsidR="0040639C" w:rsidRPr="0040639C" w:rsidTr="002F7636">
              <w:tc>
                <w:tcPr>
                  <w:tcW w:w="4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389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  <w:tc>
                <w:tcPr>
                  <w:tcW w:w="24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  <w:r w:rsidRPr="0040639C">
                    <w:rPr>
                      <w:rFonts w:ascii="SimSun" w:eastAsia="SimSun" w:hAnsi="SimSun" w:cs="SimSun" w:hint="eastAsia"/>
                      <w:kern w:val="0"/>
                      <w:szCs w:val="21"/>
                      <w:bdr w:val="none" w:sz="0" w:space="0" w:color="auto" w:frame="1"/>
                    </w:rPr>
                    <w:t>其他电气机械及器材制造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0639C" w:rsidRPr="0040639C" w:rsidRDefault="0040639C" w:rsidP="0040639C">
                  <w:pPr>
                    <w:widowControl/>
                    <w:wordWrap w:val="0"/>
                    <w:autoSpaceDE w:val="0"/>
                    <w:autoSpaceDN w:val="0"/>
                    <w:spacing w:line="290" w:lineRule="atLeast"/>
                    <w:rPr>
                      <w:rFonts w:ascii="SimSun" w:eastAsia="SimSun" w:hAnsi="SimSun" w:cs="SimSun"/>
                      <w:kern w:val="0"/>
                      <w:szCs w:val="21"/>
                    </w:rPr>
                  </w:pPr>
                </w:p>
              </w:tc>
            </w:tr>
          </w:tbl>
          <w:p w:rsidR="007213BF" w:rsidRDefault="007213BF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pacing w:line="290" w:lineRule="atLeast"/>
              <w:ind w:firstLine="480"/>
              <w:rPr>
                <w:rFonts w:ascii="SimSun" w:hAnsi="SimSun" w:cs="SimSun" w:hint="eastAsia"/>
                <w:color w:val="333333"/>
                <w:kern w:val="0"/>
                <w:szCs w:val="21"/>
                <w:bdr w:val="none" w:sz="0" w:space="0" w:color="auto" w:frame="1"/>
                <w:lang w:eastAsia="ko-KR"/>
              </w:rPr>
            </w:pPr>
          </w:p>
          <w:p w:rsidR="0040639C" w:rsidRPr="007213BF" w:rsidRDefault="0040639C" w:rsidP="0040639C">
            <w:pPr>
              <w:widowControl/>
              <w:shd w:val="clear" w:color="auto" w:fill="FFFFFF"/>
              <w:wordWrap w:val="0"/>
              <w:autoSpaceDE w:val="0"/>
              <w:autoSpaceDN w:val="0"/>
              <w:spacing w:line="290" w:lineRule="atLeast"/>
              <w:ind w:firstLine="480"/>
              <w:rPr>
                <w:rFonts w:ascii="SimSun" w:eastAsia="SimSun" w:hAnsi="SimSun" w:cs="SimSun"/>
                <w:color w:val="333333"/>
                <w:spacing w:val="-10"/>
                <w:kern w:val="0"/>
                <w:szCs w:val="21"/>
              </w:rPr>
            </w:pPr>
            <w:r w:rsidRPr="0040639C">
              <w:rPr>
                <w:rFonts w:ascii="SimSun" w:eastAsia="SimSun" w:hAnsi="SimSun" w:cs="SimSun" w:hint="eastAsia"/>
                <w:color w:val="333333"/>
                <w:kern w:val="0"/>
                <w:szCs w:val="21"/>
                <w:bdr w:val="none" w:sz="0" w:space="0" w:color="auto" w:frame="1"/>
              </w:rPr>
              <w:t>注：</w:t>
            </w:r>
            <w:r w:rsidRPr="007213BF">
              <w:rPr>
                <w:rFonts w:ascii="SimSun" w:eastAsia="SimSun" w:hAnsi="SimSun" w:cs="SimSun" w:hint="eastAsia"/>
                <w:color w:val="333333"/>
                <w:spacing w:val="-10"/>
                <w:kern w:val="0"/>
                <w:szCs w:val="21"/>
                <w:bdr w:val="none" w:sz="0" w:space="0" w:color="auto" w:frame="1"/>
              </w:rPr>
              <w:t>以上代码和类别名称来自《国民经济行业分类（GB/T 4754-2011）》。</w:t>
            </w:r>
          </w:p>
          <w:p w:rsidR="0040639C" w:rsidRPr="007213BF" w:rsidRDefault="0040639C" w:rsidP="0040639C">
            <w:pPr>
              <w:wordWrap w:val="0"/>
              <w:autoSpaceDE w:val="0"/>
              <w:autoSpaceDN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</w:tc>
      </w:tr>
    </w:tbl>
    <w:p w:rsidR="00100135" w:rsidRDefault="00100135"/>
    <w:sectPr w:rsidR="00100135" w:rsidSect="0040639C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7582"/>
    <w:multiLevelType w:val="hybridMultilevel"/>
    <w:tmpl w:val="9A44B3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C401C"/>
    <w:rsid w:val="00100135"/>
    <w:rsid w:val="002F6355"/>
    <w:rsid w:val="002F7636"/>
    <w:rsid w:val="0040639C"/>
    <w:rsid w:val="00493CB7"/>
    <w:rsid w:val="00704D9B"/>
    <w:rsid w:val="007213BF"/>
    <w:rsid w:val="00A632C8"/>
    <w:rsid w:val="00DC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9C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3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6C43-F3E4-4214-970A-2BA934F5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2015-09-23T23:51:00Z</dcterms:created>
  <dcterms:modified xsi:type="dcterms:W3CDTF">2015-09-24T01:39:00Z</dcterms:modified>
</cp:coreProperties>
</file>