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2F359D" w:rsidRPr="002F359D" w:rsidRDefault="002F359D" w:rsidP="002F359D">
            <w:pPr>
              <w:wordWrap w:val="0"/>
              <w:autoSpaceDN w:val="0"/>
              <w:snapToGrid w:val="0"/>
              <w:spacing w:line="290" w:lineRule="atLeast"/>
              <w:jc w:val="center"/>
              <w:rPr>
                <w:rFonts w:ascii="한컴바탕" w:eastAsia="한컴바탕" w:hAnsi="한컴바탕" w:cs="한컴바탕"/>
                <w:b/>
                <w:sz w:val="26"/>
                <w:szCs w:val="26"/>
                <w:lang w:eastAsia="ko-KR"/>
              </w:rPr>
            </w:pPr>
            <w:r w:rsidRPr="002F359D">
              <w:rPr>
                <w:rFonts w:ascii="한컴바탕" w:eastAsia="한컴바탕" w:hAnsi="한컴바탕" w:cs="한컴바탕" w:hint="eastAsia"/>
                <w:b/>
                <w:sz w:val="26"/>
                <w:szCs w:val="26"/>
                <w:lang w:eastAsia="ko-KR"/>
              </w:rPr>
              <w:t>국가외환관리국의</w:t>
            </w:r>
            <w:r w:rsidRPr="002F359D">
              <w:rPr>
                <w:rFonts w:ascii="한컴바탕" w:eastAsia="한컴바탕" w:hAnsi="한컴바탕" w:cs="한컴바탕" w:hint="eastAsia"/>
                <w:b/>
                <w:sz w:val="26"/>
                <w:szCs w:val="26"/>
                <w:lang w:eastAsia="ko-KR"/>
              </w:rPr>
              <w:t xml:space="preserve"> </w:t>
            </w:r>
            <w:r w:rsidRPr="002F359D">
              <w:rPr>
                <w:rFonts w:ascii="한컴바탕" w:eastAsia="한컴바탕" w:hAnsi="한컴바탕" w:cs="한컴바탕" w:hint="eastAsia"/>
                <w:b/>
                <w:sz w:val="26"/>
                <w:szCs w:val="26"/>
                <w:lang w:eastAsia="ko-KR"/>
              </w:rPr>
              <w:t>자본항목</w:t>
            </w:r>
            <w:r w:rsidRPr="002F359D">
              <w:rPr>
                <w:rFonts w:ascii="한컴바탕" w:eastAsia="한컴바탕" w:hAnsi="한컴바탕" w:cs="한컴바탕"/>
                <w:b/>
                <w:sz w:val="26"/>
                <w:szCs w:val="26"/>
                <w:lang w:eastAsia="ko-KR"/>
              </w:rPr>
              <w:t xml:space="preserve"> 환결제 관리정책 개혁과 규범에 관한 통지</w:t>
            </w:r>
          </w:p>
          <w:p w:rsidR="002F359D" w:rsidRPr="002F359D" w:rsidRDefault="002F359D" w:rsidP="002F359D">
            <w:pPr>
              <w:wordWrap w:val="0"/>
              <w:autoSpaceDN w:val="0"/>
              <w:snapToGrid w:val="0"/>
              <w:spacing w:line="290" w:lineRule="atLeast"/>
              <w:jc w:val="center"/>
              <w:rPr>
                <w:rFonts w:ascii="한컴바탕" w:eastAsia="한컴바탕" w:hAnsi="한컴바탕" w:cs="한컴바탕"/>
                <w:spacing w:val="-6"/>
                <w:szCs w:val="21"/>
                <w:lang w:eastAsia="ko-KR"/>
              </w:rPr>
            </w:pPr>
            <w:r w:rsidRPr="002F359D">
              <w:rPr>
                <w:rFonts w:ascii="한컴바탕" w:eastAsia="한컴바탕" w:hAnsi="한컴바탕" w:cs="한컴바탕" w:hint="eastAsia"/>
                <w:spacing w:val="-6"/>
                <w:szCs w:val="21"/>
                <w:lang w:eastAsia="ko-KR"/>
              </w:rPr>
              <w:t>회발</w:t>
            </w:r>
            <w:r w:rsidRPr="002F359D">
              <w:rPr>
                <w:rFonts w:ascii="한컴바탕" w:eastAsia="한컴바탕" w:hAnsi="한컴바탕" w:cs="한컴바탕"/>
                <w:spacing w:val="-6"/>
                <w:szCs w:val="21"/>
                <w:lang w:eastAsia="ko-KR"/>
              </w:rPr>
              <w:t>[2016]16호</w:t>
            </w:r>
          </w:p>
          <w:p w:rsidR="002F359D" w:rsidRPr="002F359D" w:rsidRDefault="002F359D" w:rsidP="002F359D">
            <w:pPr>
              <w:wordWrap w:val="0"/>
              <w:autoSpaceDN w:val="0"/>
              <w:snapToGrid w:val="0"/>
              <w:spacing w:line="290" w:lineRule="atLeast"/>
              <w:jc w:val="left"/>
              <w:rPr>
                <w:rFonts w:ascii="한컴바탕" w:eastAsia="한컴바탕" w:hAnsi="한컴바탕" w:cs="한컴바탕"/>
                <w:spacing w:val="-6"/>
                <w:szCs w:val="21"/>
                <w:lang w:eastAsia="ko-KR"/>
              </w:rPr>
            </w:pPr>
          </w:p>
          <w:p w:rsidR="002F359D" w:rsidRPr="002F359D" w:rsidRDefault="002F359D" w:rsidP="002F359D">
            <w:pPr>
              <w:wordWrap w:val="0"/>
              <w:autoSpaceDN w:val="0"/>
              <w:snapToGrid w:val="0"/>
              <w:spacing w:line="290" w:lineRule="atLeast"/>
              <w:jc w:val="left"/>
              <w:rPr>
                <w:rFonts w:ascii="한컴바탕" w:eastAsia="한컴바탕" w:hAnsi="한컴바탕" w:cs="한컴바탕"/>
                <w:spacing w:val="-6"/>
                <w:szCs w:val="21"/>
                <w:lang w:eastAsia="ko-KR"/>
              </w:rPr>
            </w:pPr>
          </w:p>
          <w:p w:rsidR="002F359D" w:rsidRPr="002F359D" w:rsidRDefault="002F359D" w:rsidP="002F359D">
            <w:pPr>
              <w:wordWrap w:val="0"/>
              <w:autoSpaceDN w:val="0"/>
              <w:snapToGrid w:val="0"/>
              <w:spacing w:line="290" w:lineRule="atLeast"/>
              <w:jc w:val="left"/>
              <w:rPr>
                <w:rFonts w:ascii="한컴바탕" w:eastAsia="한컴바탕" w:hAnsi="한컴바탕" w:cs="한컴바탕"/>
                <w:spacing w:val="-6"/>
                <w:szCs w:val="21"/>
                <w:lang w:eastAsia="ko-KR"/>
              </w:rPr>
            </w:pPr>
            <w:r w:rsidRPr="002F359D">
              <w:rPr>
                <w:rFonts w:ascii="한컴바탕" w:eastAsia="한컴바탕" w:hAnsi="한컴바탕" w:cs="한컴바탕" w:hint="eastAsia"/>
                <w:spacing w:val="-6"/>
                <w:szCs w:val="21"/>
                <w:lang w:eastAsia="ko-KR"/>
              </w:rPr>
              <w:t>국가외환관리국</w:t>
            </w:r>
            <w:r w:rsidRPr="002F359D">
              <w:rPr>
                <w:rFonts w:ascii="한컴바탕" w:eastAsia="한컴바탕" w:hAnsi="한컴바탕" w:cs="한컴바탕"/>
                <w:spacing w:val="-6"/>
                <w:szCs w:val="21"/>
                <w:lang w:eastAsia="ko-KR"/>
              </w:rPr>
              <w:t xml:space="preserve"> 각 성, 자치구, 직할시분국, 외환관리부, 심천, 대련, 청도, 하문, 영파시분국; 각 중자 지정거래 외국환은행:</w:t>
            </w:r>
          </w:p>
          <w:p w:rsidR="002F359D" w:rsidRPr="002F359D" w:rsidRDefault="002F359D" w:rsidP="002F359D">
            <w:pPr>
              <w:wordWrap w:val="0"/>
              <w:autoSpaceDN w:val="0"/>
              <w:snapToGrid w:val="0"/>
              <w:spacing w:line="290" w:lineRule="atLeast"/>
              <w:jc w:val="left"/>
              <w:rPr>
                <w:rFonts w:ascii="한컴바탕" w:eastAsia="한컴바탕" w:hAnsi="한컴바탕" w:cs="한컴바탕"/>
                <w:spacing w:val="-6"/>
                <w:szCs w:val="21"/>
                <w:lang w:eastAsia="ko-KR"/>
              </w:rPr>
            </w:pPr>
          </w:p>
          <w:p w:rsidR="002F359D" w:rsidRPr="002F359D" w:rsidRDefault="002F359D" w:rsidP="002F35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F359D">
              <w:rPr>
                <w:rFonts w:ascii="한컴바탕" w:eastAsia="한컴바탕" w:hAnsi="한컴바탕" w:cs="한컴바탕" w:hint="eastAsia"/>
                <w:spacing w:val="-6"/>
                <w:szCs w:val="21"/>
                <w:lang w:eastAsia="ko-KR"/>
              </w:rPr>
              <w:t>외환관리제도</w:t>
            </w:r>
            <w:r w:rsidRPr="002F359D">
              <w:rPr>
                <w:rFonts w:ascii="한컴바탕" w:eastAsia="한컴바탕" w:hAnsi="한컴바탕" w:cs="한컴바탕"/>
                <w:spacing w:val="-6"/>
                <w:szCs w:val="21"/>
                <w:lang w:eastAsia="ko-KR"/>
              </w:rPr>
              <w:t xml:space="preserve"> 개혁을 한 단계 심화하고, 경내기업경영과 자금운영수요를 보다 만족시키고 편리하게 하기 위해, 국가외환관리국은 총결에 앞서 일부 지역 시범경험에 기초하여 전국범위 내 기업외채자금 환결제 관리방식 개혁을 확대함과 동시에 자본항목 외화수입 자유 환결제 및 지급관리를 통일적으로 규범화하기로 결정하였다. 이에 유관문제를 다음과 같이 통지한다</w:t>
            </w:r>
            <w:r>
              <w:rPr>
                <w:rFonts w:ascii="한컴바탕" w:eastAsia="한컴바탕" w:hAnsi="한컴바탕" w:cs="한컴바탕"/>
                <w:spacing w:val="-6"/>
                <w:szCs w:val="21"/>
                <w:lang w:eastAsia="ko-KR"/>
              </w:rPr>
              <w:t xml:space="preserve">. </w:t>
            </w:r>
          </w:p>
          <w:p w:rsidR="002F359D" w:rsidRPr="002F359D" w:rsidRDefault="002F359D" w:rsidP="002F35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F359D">
              <w:rPr>
                <w:rFonts w:ascii="한컴바탕" w:eastAsia="한컴바탕" w:hAnsi="한컴바탕" w:cs="한컴바탕"/>
                <w:spacing w:val="-6"/>
                <w:szCs w:val="21"/>
                <w:lang w:eastAsia="ko-KR"/>
              </w:rPr>
              <w:t>1. 전국범위 내 기업외채자금 환결제 관리방식 개혁 실시</w:t>
            </w:r>
          </w:p>
          <w:p w:rsidR="002F359D" w:rsidRPr="002F359D" w:rsidRDefault="002F359D" w:rsidP="002F359D">
            <w:pPr>
              <w:wordWrap w:val="0"/>
              <w:autoSpaceDN w:val="0"/>
              <w:snapToGrid w:val="0"/>
              <w:spacing w:line="290" w:lineRule="atLeast"/>
              <w:jc w:val="left"/>
              <w:rPr>
                <w:rFonts w:ascii="한컴바탕" w:eastAsia="한컴바탕" w:hAnsi="한컴바탕" w:cs="한컴바탕" w:hint="eastAsia"/>
                <w:szCs w:val="21"/>
                <w:lang w:eastAsia="ko-KR"/>
              </w:rPr>
            </w:pPr>
            <w:r w:rsidRPr="002F359D">
              <w:rPr>
                <w:rFonts w:ascii="한컴바탕" w:eastAsia="한컴바탕" w:hAnsi="한컴바탕" w:cs="한컴바탕" w:hint="eastAsia"/>
                <w:szCs w:val="21"/>
                <w:lang w:eastAsia="ko-KR"/>
              </w:rPr>
              <w:t>중국</w:t>
            </w:r>
            <w:r w:rsidRPr="002F359D">
              <w:rPr>
                <w:rFonts w:ascii="한컴바탕" w:eastAsia="한컴바탕" w:hAnsi="한컴바탕" w:cs="한컴바탕"/>
                <w:szCs w:val="21"/>
                <w:lang w:eastAsia="ko-KR"/>
              </w:rPr>
              <w:t xml:space="preserve">(상해) 자유무역 시범구, 중국(천진) 자유무역 시범구, 중국(광동) 자유무역 시범구 및 중국(복건) 자유무역 시범구 관련 시범경험에 기초하여, 기업외채자금 환결제 관리방식 개혁을 전국적으로 시범 확대한다. 본 통지 실시일로부터 경내기업(중자기업과 외상투자기업 포함, 금융기관 불포함)외채자금은 모두 자유 환결제 방식에 따라 환결제 수속을 처리할 수 있다. </w:t>
            </w:r>
          </w:p>
          <w:p w:rsidR="002F359D" w:rsidRPr="002F359D" w:rsidRDefault="002F359D" w:rsidP="002F35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F359D">
              <w:rPr>
                <w:rFonts w:ascii="한컴바탕" w:eastAsia="한컴바탕" w:hAnsi="한컴바탕" w:cs="한컴바탕"/>
                <w:spacing w:val="-6"/>
                <w:szCs w:val="21"/>
                <w:lang w:eastAsia="ko-KR"/>
              </w:rPr>
              <w:t>2. 경내기구의 자본항목 외화수입 자유 환결제 정책 통일</w:t>
            </w:r>
          </w:p>
          <w:p w:rsidR="002F359D" w:rsidRPr="002F359D" w:rsidRDefault="002F359D" w:rsidP="002F359D">
            <w:pPr>
              <w:wordWrap w:val="0"/>
              <w:autoSpaceDN w:val="0"/>
              <w:snapToGrid w:val="0"/>
              <w:spacing w:line="290" w:lineRule="atLeast"/>
              <w:jc w:val="left"/>
              <w:rPr>
                <w:rFonts w:ascii="한컴바탕" w:eastAsia="한컴바탕" w:hAnsi="한컴바탕" w:cs="한컴바탕" w:hint="eastAsia"/>
                <w:spacing w:val="-14"/>
                <w:szCs w:val="21"/>
                <w:lang w:eastAsia="ko-KR"/>
              </w:rPr>
            </w:pPr>
            <w:r w:rsidRPr="002F359D">
              <w:rPr>
                <w:rFonts w:ascii="한컴바탕" w:eastAsia="한컴바탕" w:hAnsi="한컴바탕" w:cs="한컴바탕" w:hint="eastAsia"/>
                <w:spacing w:val="-14"/>
                <w:szCs w:val="21"/>
                <w:lang w:eastAsia="ko-KR"/>
              </w:rPr>
              <w:t>자본항목</w:t>
            </w:r>
            <w:r w:rsidRPr="002F359D">
              <w:rPr>
                <w:rFonts w:ascii="한컴바탕" w:eastAsia="한컴바탕" w:hAnsi="한컴바탕" w:cs="한컴바탕"/>
                <w:spacing w:val="-14"/>
                <w:szCs w:val="21"/>
                <w:lang w:eastAsia="ko-KR"/>
              </w:rPr>
              <w:t xml:space="preserve"> 외화수입 자유 환결제라 함은 관련 정책으로 이미 자유 환결제를 명확히 실행하는 자본항목 외화수입(외화자본금, 외채자금과 경외상장회수자금 등을 포함)이자, 경내기구의 실제경영수요에 근거하여 은행에서 환결제를 처리할 수 있음을 가리킨다. 현행 법규가 경내기구 자본항목 외화수입 환결제에 대한 제한성 규정이 존재할 경우에는 그 규정을 따른다</w:t>
            </w:r>
            <w:r w:rsidRPr="002F359D">
              <w:rPr>
                <w:rFonts w:ascii="한컴바탕" w:eastAsia="한컴바탕" w:hAnsi="한컴바탕" w:cs="한컴바탕"/>
                <w:spacing w:val="-14"/>
                <w:szCs w:val="21"/>
                <w:lang w:eastAsia="ko-KR"/>
              </w:rPr>
              <w:t xml:space="preserve">. </w:t>
            </w:r>
          </w:p>
          <w:p w:rsidR="002F359D" w:rsidRPr="002F359D" w:rsidRDefault="002F359D" w:rsidP="002F35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F359D">
              <w:rPr>
                <w:rFonts w:ascii="한컴바탕" w:eastAsia="한컴바탕" w:hAnsi="한컴바탕" w:cs="한컴바탕" w:hint="eastAsia"/>
                <w:spacing w:val="-6"/>
                <w:szCs w:val="21"/>
                <w:lang w:eastAsia="ko-KR"/>
              </w:rPr>
              <w:t>경내기구</w:t>
            </w:r>
            <w:r w:rsidRPr="002F359D">
              <w:rPr>
                <w:rFonts w:ascii="한컴바탕" w:eastAsia="한컴바탕" w:hAnsi="한컴바탕" w:cs="한컴바탕"/>
                <w:spacing w:val="-6"/>
                <w:szCs w:val="21"/>
                <w:lang w:eastAsia="ko-KR"/>
              </w:rPr>
              <w:t xml:space="preserve"> 자본항목 외화수입 자유 환결제 비율은 잠정적으로 100%로 한다. 국가외환관리국은 국제수지 정황에 근거하여 적절한 시기에 상술한 비율에 대해 조정할 수 있다. </w:t>
            </w:r>
          </w:p>
          <w:p w:rsidR="002F359D" w:rsidRPr="002F359D" w:rsidRDefault="002F359D" w:rsidP="002F35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F359D">
              <w:rPr>
                <w:rFonts w:ascii="한컴바탕" w:eastAsia="한컴바탕" w:hAnsi="한컴바탕" w:cs="한컴바탕" w:hint="eastAsia"/>
                <w:spacing w:val="-6"/>
                <w:szCs w:val="21"/>
                <w:lang w:eastAsia="ko-KR"/>
              </w:rPr>
              <w:t>자본항목</w:t>
            </w:r>
            <w:r w:rsidRPr="002F359D">
              <w:rPr>
                <w:rFonts w:ascii="한컴바탕" w:eastAsia="한컴바탕" w:hAnsi="한컴바탕" w:cs="한컴바탕"/>
                <w:spacing w:val="-6"/>
                <w:szCs w:val="21"/>
                <w:lang w:eastAsia="ko-KR"/>
              </w:rPr>
              <w:t xml:space="preserve"> 외화수입 자유 환결제를 실행하여도 경내기구는 여전히 지급 환결제 제도에 따라 그 외화수입을 사용함에 있어 선택할 수 있다. 은행은 지급 환결제 원칙에 따라 경내기구에 건별 환결제 </w:t>
            </w:r>
            <w:r w:rsidRPr="002F359D">
              <w:rPr>
                <w:rFonts w:ascii="한컴바탕" w:eastAsia="한컴바탕" w:hAnsi="한컴바탕" w:cs="한컴바탕"/>
                <w:spacing w:val="-6"/>
                <w:szCs w:val="21"/>
                <w:lang w:eastAsia="ko-KR"/>
              </w:rPr>
              <w:lastRenderedPageBreak/>
              <w:t>업무를 처리할 시, 경내기구 이전 환결제(자유 환결제와 지급 환결제 포함)자금 사용의 진실성과 적법성을 모두 심사하여야 한다</w:t>
            </w:r>
            <w:r>
              <w:rPr>
                <w:rFonts w:ascii="한컴바탕" w:eastAsia="한컴바탕" w:hAnsi="한컴바탕" w:cs="한컴바탕"/>
                <w:spacing w:val="-6"/>
                <w:szCs w:val="21"/>
                <w:lang w:eastAsia="ko-KR"/>
              </w:rPr>
              <w:t>.</w:t>
            </w:r>
          </w:p>
          <w:p w:rsidR="002F359D" w:rsidRPr="002F359D" w:rsidRDefault="002F359D" w:rsidP="002F35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F359D">
              <w:rPr>
                <w:rFonts w:ascii="한컴바탕" w:eastAsia="한컴바탕" w:hAnsi="한컴바탕" w:cs="한컴바탕" w:hint="eastAsia"/>
                <w:spacing w:val="-6"/>
                <w:szCs w:val="21"/>
                <w:lang w:eastAsia="ko-KR"/>
              </w:rPr>
              <w:t>경내기구</w:t>
            </w:r>
            <w:r w:rsidRPr="002F359D">
              <w:rPr>
                <w:rFonts w:ascii="한컴바탕" w:eastAsia="한컴바탕" w:hAnsi="한컴바탕" w:cs="한컴바탕"/>
                <w:spacing w:val="-6"/>
                <w:szCs w:val="21"/>
                <w:lang w:eastAsia="ko-KR"/>
              </w:rPr>
              <w:t xml:space="preserve"> 외화수입을 경내원화로 대체하고 또한 그 해외로 대외지급 하는 것은 현행 외환관리규정에 따라 처리한다. </w:t>
            </w:r>
          </w:p>
          <w:p w:rsidR="002F359D" w:rsidRPr="002F359D" w:rsidRDefault="002F359D" w:rsidP="002F35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F359D">
              <w:rPr>
                <w:rFonts w:ascii="한컴바탕" w:eastAsia="한컴바탕" w:hAnsi="한컴바탕" w:cs="한컴바탕"/>
                <w:spacing w:val="-6"/>
                <w:szCs w:val="21"/>
                <w:lang w:eastAsia="ko-KR"/>
              </w:rPr>
              <w:t>3. 경내기구의 자본항목 외화수입 자유 환결제로 취득한 인민폐 자금을 환결제 지급대기계좌에 불입하여 관리</w:t>
            </w:r>
            <w:r>
              <w:rPr>
                <w:rFonts w:ascii="한컴바탕" w:eastAsia="한컴바탕" w:hAnsi="한컴바탕" w:cs="한컴바탕"/>
                <w:spacing w:val="-6"/>
                <w:szCs w:val="21"/>
                <w:lang w:eastAsia="ko-KR"/>
              </w:rPr>
              <w:t xml:space="preserve"> </w:t>
            </w:r>
          </w:p>
          <w:p w:rsidR="002F359D" w:rsidRPr="002F359D" w:rsidRDefault="002F359D" w:rsidP="002F35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F359D">
              <w:rPr>
                <w:rFonts w:ascii="한컴바탕" w:eastAsia="한컴바탕" w:hAnsi="한컴바탕" w:cs="한컴바탕" w:hint="eastAsia"/>
                <w:spacing w:val="-6"/>
                <w:szCs w:val="21"/>
                <w:lang w:eastAsia="ko-KR"/>
              </w:rPr>
              <w:t>경내기구는</w:t>
            </w:r>
            <w:r w:rsidRPr="002F359D">
              <w:rPr>
                <w:rFonts w:ascii="한컴바탕" w:eastAsia="한컴바탕" w:hAnsi="한컴바탕" w:cs="한컴바탕"/>
                <w:spacing w:val="-6"/>
                <w:szCs w:val="21"/>
                <w:lang w:eastAsia="ko-KR"/>
              </w:rPr>
              <w:t xml:space="preserve"> 원칙상 은행에서 각각 대응되는 “자본항목-환결제 지급대기계좌”(이하 “환결제 지급대기계좌”)를 개설하여야 하고, 자본항목 외화수입 자유 환결제로 취득한 인민폐 자금을 예치하는 용도로 쓰며, 또한 해당 계좌를 통해 각종 지급수속을 처리한다. 경내기구는 동일 은행 사이트에서 개설한 동일명의의 자본금계좌, 경내자산현금계좌, 경내재투자계좌, 외채전용계좌, 경외상장전용계좌 및 규정에 부합하는 기타 유형의 자본항목계좌를 하나의 환결제 지급대기계좌로 함께 </w:t>
            </w:r>
            <w:r w:rsidRPr="002F359D">
              <w:rPr>
                <w:rFonts w:ascii="한컴바탕" w:eastAsia="한컴바탕" w:hAnsi="한컴바탕" w:cs="한컴바탕" w:hint="eastAsia"/>
                <w:spacing w:val="-6"/>
                <w:szCs w:val="21"/>
                <w:lang w:eastAsia="ko-KR"/>
              </w:rPr>
              <w:t>사용할</w:t>
            </w:r>
            <w:r w:rsidRPr="002F359D">
              <w:rPr>
                <w:rFonts w:ascii="한컴바탕" w:eastAsia="한컴바탕" w:hAnsi="한컴바탕" w:cs="한컴바탕"/>
                <w:spacing w:val="-6"/>
                <w:szCs w:val="21"/>
                <w:lang w:eastAsia="ko-KR"/>
              </w:rPr>
              <w:t xml:space="preserve"> 수 있다. 경내기구는 지급 환결제 원칙에 따라 환결제 후 취득한 인민폐 자금은 환결제 지급대기계좌를 통해 지급 할 수 없다.</w:t>
            </w:r>
          </w:p>
          <w:p w:rsidR="002F359D" w:rsidRPr="002F359D" w:rsidRDefault="002F359D" w:rsidP="002F35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F359D">
              <w:rPr>
                <w:rFonts w:ascii="한컴바탕" w:eastAsia="한컴바탕" w:hAnsi="한컴바탕" w:cs="한컴바탕" w:hint="eastAsia"/>
                <w:spacing w:val="-6"/>
                <w:szCs w:val="21"/>
                <w:lang w:eastAsia="ko-KR"/>
              </w:rPr>
              <w:t>환결제</w:t>
            </w:r>
            <w:r w:rsidRPr="002F359D">
              <w:rPr>
                <w:rFonts w:ascii="한컴바탕" w:eastAsia="한컴바탕" w:hAnsi="한컴바탕" w:cs="한컴바탕"/>
                <w:spacing w:val="-6"/>
                <w:szCs w:val="21"/>
                <w:lang w:eastAsia="ko-KR"/>
              </w:rPr>
              <w:t xml:space="preserve"> 지급대기계좌의 수입범위는 동일명의 또는 경내 지분투자를 전개하는 기업의 자본금계좌, 경내자산현금계좌, 경내재투자계좌, 외채전용계좌, 경외상장전용계좌 및 규정에 부합하는 기타 유형의 자본항목 외환계좌에서 환결제 후 이체된 자금, 동일명의 또는 경내 지분투자를 전개하는 기업의 환결제 지급대기계좌에서 이체한 자금, 본 계좌에서 규정에 부합하여 출금 후 이체한 자금, 거래철회로 인해 반환된 자금, 규정에 부합하는 인민폐 수입, 계좌이자수입 및 외환국(은행)을 거쳐 등기하거나 또는 외환국 비준을 거친 기타 수입을 포함한다</w:t>
            </w:r>
            <w:r>
              <w:rPr>
                <w:rFonts w:ascii="한컴바탕" w:eastAsia="한컴바탕" w:hAnsi="한컴바탕" w:cs="한컴바탕"/>
                <w:spacing w:val="-6"/>
                <w:szCs w:val="21"/>
                <w:lang w:eastAsia="ko-KR"/>
              </w:rPr>
              <w:t>.</w:t>
            </w:r>
          </w:p>
          <w:p w:rsidR="002F359D" w:rsidRPr="002F359D" w:rsidRDefault="002F359D" w:rsidP="002F35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F359D">
              <w:rPr>
                <w:rFonts w:ascii="한컴바탕" w:eastAsia="한컴바탕" w:hAnsi="한컴바탕" w:cs="한컴바탕" w:hint="eastAsia"/>
                <w:spacing w:val="-6"/>
                <w:szCs w:val="21"/>
                <w:lang w:eastAsia="ko-KR"/>
              </w:rPr>
              <w:t>환결제</w:t>
            </w:r>
            <w:r w:rsidRPr="002F359D">
              <w:rPr>
                <w:rFonts w:ascii="한컴바탕" w:eastAsia="한컴바탕" w:hAnsi="한컴바탕" w:cs="한컴바탕"/>
                <w:spacing w:val="-6"/>
                <w:szCs w:val="21"/>
                <w:lang w:eastAsia="ko-KR"/>
              </w:rPr>
              <w:t xml:space="preserve"> 지급대기계좌의 지출범위는 경영범위 내의 지출, 경내 지분 투자자금과 인민폐 보증금 지출, 자금집중관리 전용계좌 및 동일명의의 환결제 지급대기계좌로의 이체, 외국환매입∙지급 또는 직접 대외외채상환 및 원리금상환전용계좌로의 이체, 외국환매입∙지급 또는 직접 경외로 이체하여 경외지분회수 또는 경외상장용으로의 기타지출, 외국투자자감자, 자금철회 외국환매입∙지급 또는 직접 대외지급, 경외기구를 대신하여 원천징수한 경내세비, 경내 국유주주를 대신하여 국유주식</w:t>
            </w:r>
            <w:r w:rsidRPr="002F359D">
              <w:rPr>
                <w:rFonts w:ascii="한컴바탕" w:eastAsia="한컴바탕" w:hAnsi="한컴바탕" w:cs="한컴바탕" w:hint="eastAsia"/>
                <w:spacing w:val="-6"/>
                <w:szCs w:val="21"/>
                <w:lang w:eastAsia="ko-KR"/>
              </w:rPr>
              <w:t>보유량</w:t>
            </w:r>
            <w:r w:rsidRPr="002F359D">
              <w:rPr>
                <w:rFonts w:ascii="한컴바탕" w:eastAsia="한컴바탕" w:hAnsi="한컴바탕" w:cs="한컴바탕"/>
                <w:spacing w:val="-6"/>
                <w:szCs w:val="21"/>
                <w:lang w:eastAsia="ko-KR"/>
              </w:rPr>
              <w:t xml:space="preserve"> 감소수입을 사회보험기금으로 이체한 것, 외국환매입∙지급 또는 직접 대외 지급한 경상항목 지출 </w:t>
            </w:r>
            <w:r w:rsidRPr="002F359D">
              <w:rPr>
                <w:rFonts w:ascii="한컴바탕" w:eastAsia="한컴바탕" w:hAnsi="한컴바탕" w:cs="한컴바탕"/>
                <w:spacing w:val="-6"/>
                <w:szCs w:val="21"/>
                <w:lang w:eastAsia="ko-KR"/>
              </w:rPr>
              <w:lastRenderedPageBreak/>
              <w:t xml:space="preserve">및 외환국(은행)을 거쳐 등기하거나 또는 외환국 비준을 거친 기타 자본항목 지출을 포함한다. </w:t>
            </w:r>
          </w:p>
          <w:p w:rsidR="002F359D" w:rsidRPr="002F359D" w:rsidRDefault="002F359D" w:rsidP="002F35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F359D">
              <w:rPr>
                <w:rFonts w:ascii="한컴바탕" w:eastAsia="한컴바탕" w:hAnsi="한컴바탕" w:cs="한컴바탕" w:hint="eastAsia"/>
                <w:spacing w:val="-6"/>
                <w:szCs w:val="21"/>
                <w:lang w:eastAsia="ko-KR"/>
              </w:rPr>
              <w:t>환결제</w:t>
            </w:r>
            <w:r w:rsidRPr="002F359D">
              <w:rPr>
                <w:rFonts w:ascii="한컴바탕" w:eastAsia="한컴바탕" w:hAnsi="한컴바탕" w:cs="한컴바탕"/>
                <w:spacing w:val="-6"/>
                <w:szCs w:val="21"/>
                <w:lang w:eastAsia="ko-KR"/>
              </w:rPr>
              <w:t xml:space="preserve"> 지급대기계좌 내의 인민폐 자금은 매입하여 자본항목 외화계좌로 이체할 수 없다. 환결제 지급대기계좌에서 출금하여 담보 또는 기타보증금을 지급한 용도의 인민폐 자금은, 담보이행 또는 위약발생으로 공제된 경우를 제외하고 원래대로 환결제 지급대기계좌로 모두 이체하여야 한다</w:t>
            </w:r>
            <w:r>
              <w:rPr>
                <w:rFonts w:ascii="한컴바탕" w:eastAsia="한컴바탕" w:hAnsi="한컴바탕" w:cs="한컴바탕"/>
                <w:spacing w:val="-6"/>
                <w:szCs w:val="21"/>
                <w:lang w:eastAsia="ko-KR"/>
              </w:rPr>
              <w:t xml:space="preserve">. </w:t>
            </w:r>
          </w:p>
          <w:p w:rsidR="002F359D" w:rsidRPr="002F359D" w:rsidRDefault="002F359D" w:rsidP="002F35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F359D">
              <w:rPr>
                <w:rFonts w:ascii="한컴바탕" w:eastAsia="한컴바탕" w:hAnsi="한컴바탕" w:cs="한컴바탕"/>
                <w:spacing w:val="-6"/>
                <w:szCs w:val="21"/>
                <w:lang w:eastAsia="ko-KR"/>
              </w:rPr>
              <w:t>4. 경내기구의 자본항목 외화수입 사용은 경영범위 내 진실 및 자유원칙 준수</w:t>
            </w:r>
          </w:p>
          <w:p w:rsidR="002F359D" w:rsidRPr="002F359D" w:rsidRDefault="002F359D" w:rsidP="002F35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F359D">
              <w:rPr>
                <w:rFonts w:ascii="한컴바탕" w:eastAsia="한컴바탕" w:hAnsi="한컴바탕" w:cs="한컴바탕" w:hint="eastAsia"/>
                <w:spacing w:val="-6"/>
                <w:szCs w:val="21"/>
                <w:lang w:eastAsia="ko-KR"/>
              </w:rPr>
              <w:t>경내기구의</w:t>
            </w:r>
            <w:r w:rsidRPr="002F359D">
              <w:rPr>
                <w:rFonts w:ascii="한컴바탕" w:eastAsia="한컴바탕" w:hAnsi="한컴바탕" w:cs="한컴바탕"/>
                <w:spacing w:val="-6"/>
                <w:szCs w:val="21"/>
                <w:lang w:eastAsia="ko-KR"/>
              </w:rPr>
              <w:t xml:space="preserve"> 자본항목 외환수입 및 그 환결제로 취득한 인민폐 자금은 자가 경영범위 내 경상항목하의 지출 및 법률법규에서 허가한 자본항목하의 지출로 사용할 수 있다</w:t>
            </w:r>
            <w:r>
              <w:rPr>
                <w:rFonts w:ascii="한컴바탕" w:eastAsia="한컴바탕" w:hAnsi="한컴바탕" w:cs="한컴바탕"/>
                <w:spacing w:val="-6"/>
                <w:szCs w:val="21"/>
                <w:lang w:eastAsia="ko-KR"/>
              </w:rPr>
              <w:t xml:space="preserve">.  </w:t>
            </w:r>
          </w:p>
          <w:p w:rsidR="002F359D" w:rsidRPr="002F359D" w:rsidRDefault="002F359D" w:rsidP="002F35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F359D">
              <w:rPr>
                <w:rFonts w:ascii="한컴바탕" w:eastAsia="한컴바탕" w:hAnsi="한컴바탕" w:cs="한컴바탕" w:hint="eastAsia"/>
                <w:spacing w:val="-6"/>
                <w:szCs w:val="21"/>
                <w:lang w:eastAsia="ko-KR"/>
              </w:rPr>
              <w:t>경내기구의</w:t>
            </w:r>
            <w:r w:rsidRPr="002F359D">
              <w:rPr>
                <w:rFonts w:ascii="한컴바탕" w:eastAsia="한컴바탕" w:hAnsi="한컴바탕" w:cs="한컴바탕"/>
                <w:spacing w:val="-6"/>
                <w:szCs w:val="21"/>
                <w:lang w:eastAsia="ko-KR"/>
              </w:rPr>
              <w:t xml:space="preserve"> 자본항목 외화수입 및 그 환결제 후 취득한 인민폐 자금의 사용은 다음 규정을 준수하여야 한다. </w:t>
            </w:r>
          </w:p>
          <w:p w:rsidR="002F359D" w:rsidRPr="002F359D" w:rsidRDefault="002F359D" w:rsidP="002F35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F359D">
              <w:rPr>
                <w:rFonts w:ascii="한컴바탕" w:eastAsia="한컴바탕" w:hAnsi="한컴바탕" w:cs="한컴바탕"/>
                <w:spacing w:val="-6"/>
                <w:szCs w:val="21"/>
                <w:lang w:eastAsia="ko-KR"/>
              </w:rPr>
              <w:t xml:space="preserve">  4.1 직접 또는 간접적으로 기업 경영범위를 벗어나거나 또는 국가법률법규에 금지된 지출 용도로 사용할 수 없음</w:t>
            </w:r>
            <w:r>
              <w:rPr>
                <w:rFonts w:ascii="한컴바탕" w:eastAsia="한컴바탕" w:hAnsi="한컴바탕" w:cs="한컴바탕"/>
                <w:spacing w:val="-6"/>
                <w:szCs w:val="21"/>
                <w:lang w:eastAsia="ko-KR"/>
              </w:rPr>
              <w:t xml:space="preserve"> </w:t>
            </w:r>
          </w:p>
          <w:p w:rsidR="002F359D" w:rsidRPr="002F359D" w:rsidRDefault="002F359D" w:rsidP="002F35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F359D">
              <w:rPr>
                <w:rFonts w:ascii="한컴바탕" w:eastAsia="한컴바탕" w:hAnsi="한컴바탕" w:cs="한컴바탕"/>
                <w:spacing w:val="-6"/>
                <w:szCs w:val="21"/>
                <w:lang w:eastAsia="ko-KR"/>
              </w:rPr>
              <w:t>4.2 별도의 명확한 규정을 제외하고, 직접 또는 간접적으로 증권투자 또는 은행 담보형 상품을 제외한 기타투자 재테크 용도로 사용할 수 없음</w:t>
            </w:r>
          </w:p>
          <w:p w:rsidR="002F359D" w:rsidRPr="002F359D" w:rsidRDefault="002F359D" w:rsidP="002F35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F359D">
              <w:rPr>
                <w:rFonts w:ascii="한컴바탕" w:eastAsia="한컴바탕" w:hAnsi="한컴바탕" w:cs="한컴바탕"/>
                <w:spacing w:val="-6"/>
                <w:szCs w:val="21"/>
                <w:lang w:eastAsia="ko-KR"/>
              </w:rPr>
              <w:t>4.3 비(</w:t>
            </w:r>
            <w:r w:rsidRPr="002F359D">
              <w:rPr>
                <w:rFonts w:ascii="한컴바탕" w:eastAsia="한컴바탕" w:hAnsi="한컴바탕" w:cs="한컴바탕" w:hint="eastAsia"/>
                <w:spacing w:val="-6"/>
                <w:szCs w:val="21"/>
                <w:lang w:eastAsia="ko-KR"/>
              </w:rPr>
              <w:t>非</w:t>
            </w:r>
            <w:r w:rsidRPr="002F359D">
              <w:rPr>
                <w:rFonts w:ascii="한컴바탕" w:eastAsia="한컴바탕" w:hAnsi="한컴바탕" w:cs="한컴바탕"/>
                <w:spacing w:val="-6"/>
                <w:szCs w:val="21"/>
                <w:lang w:eastAsia="ko-KR"/>
              </w:rPr>
              <w:t>) 관련 기업에게 대출해주는 용도로 사용할 수 없으며, 경영범위에 명확히 허가된 상황은 제외</w:t>
            </w:r>
          </w:p>
          <w:p w:rsidR="002F359D" w:rsidRPr="002F359D" w:rsidRDefault="002F359D" w:rsidP="002F35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F359D">
              <w:rPr>
                <w:rFonts w:ascii="한컴바탕" w:eastAsia="한컴바탕" w:hAnsi="한컴바탕" w:cs="한컴바탕"/>
                <w:spacing w:val="-6"/>
                <w:szCs w:val="21"/>
                <w:lang w:eastAsia="ko-KR"/>
              </w:rPr>
              <w:t>4.4 비(</w:t>
            </w:r>
            <w:r w:rsidRPr="002F359D">
              <w:rPr>
                <w:rFonts w:ascii="한컴바탕" w:eastAsia="한컴바탕" w:hAnsi="한컴바탕" w:cs="한컴바탕" w:hint="eastAsia"/>
                <w:spacing w:val="-6"/>
                <w:szCs w:val="21"/>
                <w:lang w:eastAsia="ko-KR"/>
              </w:rPr>
              <w:t>非</w:t>
            </w:r>
            <w:r w:rsidRPr="002F359D">
              <w:rPr>
                <w:rFonts w:ascii="한컴바탕" w:eastAsia="한컴바탕" w:hAnsi="한컴바탕" w:cs="한컴바탕"/>
                <w:spacing w:val="-6"/>
                <w:szCs w:val="21"/>
                <w:lang w:eastAsia="ko-KR"/>
              </w:rPr>
              <w:t>)자가용 부동산(부동산기업 제외)을 건설 및 구매 용도로 사용할 수 없음</w:t>
            </w:r>
          </w:p>
          <w:p w:rsidR="002F359D" w:rsidRPr="002F359D" w:rsidRDefault="002F359D" w:rsidP="002F359D">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2F359D">
              <w:rPr>
                <w:rFonts w:ascii="한컴바탕" w:eastAsia="한컴바탕" w:hAnsi="한컴바탕" w:cs="한컴바탕" w:hint="eastAsia"/>
                <w:spacing w:val="-10"/>
                <w:szCs w:val="21"/>
                <w:lang w:eastAsia="ko-KR"/>
              </w:rPr>
              <w:t>경내기구와</w:t>
            </w:r>
            <w:r w:rsidRPr="002F359D">
              <w:rPr>
                <w:rFonts w:ascii="한컴바탕" w:eastAsia="한컴바탕" w:hAnsi="한컴바탕" w:cs="한컴바탕"/>
                <w:spacing w:val="-10"/>
                <w:szCs w:val="21"/>
                <w:lang w:eastAsia="ko-KR"/>
              </w:rPr>
              <w:t xml:space="preserve"> 기타 당사자간의 자본항목 수입 사용범위에 대해 계약 약정이 존재할 경우 해당 계약에 약정된 범위를 초과하여 관련 자금을 사용할 수 없다. 별도 규정을 제외하고 경내기구와 기타 당사자간의 계약 약정은 본 통지와 상충되지 않아야 한다</w:t>
            </w:r>
            <w:r w:rsidRPr="002F359D">
              <w:rPr>
                <w:rFonts w:ascii="한컴바탕" w:eastAsia="한컴바탕" w:hAnsi="한컴바탕" w:cs="한컴바탕"/>
                <w:spacing w:val="-10"/>
                <w:szCs w:val="21"/>
                <w:lang w:eastAsia="ko-KR"/>
              </w:rPr>
              <w:t xml:space="preserve">. </w:t>
            </w:r>
          </w:p>
          <w:p w:rsidR="002F359D" w:rsidRPr="002F359D" w:rsidRDefault="002F359D" w:rsidP="002F35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F359D">
              <w:rPr>
                <w:rFonts w:ascii="한컴바탕" w:eastAsia="한컴바탕" w:hAnsi="한컴바탕" w:cs="한컴바탕"/>
                <w:spacing w:val="-6"/>
                <w:szCs w:val="21"/>
                <w:lang w:eastAsia="ko-KR"/>
              </w:rPr>
              <w:t>5. 자본항목 수입 및 그 환결제 후 자금의 지급관리 규범</w:t>
            </w:r>
          </w:p>
          <w:p w:rsidR="002F359D" w:rsidRPr="002F359D" w:rsidRDefault="002F359D" w:rsidP="002F35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F359D">
              <w:rPr>
                <w:rFonts w:ascii="한컴바탕" w:eastAsia="한컴바탕" w:hAnsi="한컴바탕" w:cs="한컴바탕"/>
                <w:spacing w:val="-6"/>
                <w:szCs w:val="21"/>
                <w:lang w:eastAsia="ko-KR"/>
              </w:rPr>
              <w:t>5.1 경내기구가 자본항목수입을 사용한 환결제와 지급 처리 시, 모두 &lt;자본항목계좌자금지급명령서&gt;(별첨 참조)를 작성하여야 한다. 환결제로 취득한 인민폐 자금은 직접 환결제 지급대기계좌로 이체할 경우, 경내기구는 은행에 자금용도 증명자료를 제출하지 않아도 된다. 경내기구가 자본항목 수입 사용을 신청하여 지급(환결제 후 환결제 지급대기계좌로 이체하지 않고 직접 대외지급 처리 및 환결제 지급대기계좌에서 인민폐 대외지급 처리 또는 직접 자본항목 외화계좌에서 대</w:t>
            </w:r>
            <w:r w:rsidRPr="002F359D">
              <w:rPr>
                <w:rFonts w:ascii="한컴바탕" w:eastAsia="한컴바탕" w:hAnsi="한컴바탕" w:cs="한컴바탕" w:hint="eastAsia"/>
                <w:spacing w:val="-6"/>
                <w:szCs w:val="21"/>
                <w:lang w:eastAsia="ko-KR"/>
              </w:rPr>
              <w:t>외송금</w:t>
            </w:r>
            <w:r w:rsidRPr="002F359D">
              <w:rPr>
                <w:rFonts w:ascii="한컴바탕" w:eastAsia="한컴바탕" w:hAnsi="한컴바탕" w:cs="한컴바탕"/>
                <w:spacing w:val="-6"/>
                <w:szCs w:val="21"/>
                <w:lang w:eastAsia="ko-KR"/>
              </w:rPr>
              <w:t xml:space="preserve"> 처리 포함)처리 시, 사실대로 은행에 자금용도와 관</w:t>
            </w:r>
            <w:r w:rsidRPr="002F359D">
              <w:rPr>
                <w:rFonts w:ascii="한컴바탕" w:eastAsia="한컴바탕" w:hAnsi="한컴바탕" w:cs="한컴바탕"/>
                <w:spacing w:val="-6"/>
                <w:szCs w:val="21"/>
                <w:lang w:eastAsia="ko-KR"/>
              </w:rPr>
              <w:lastRenderedPageBreak/>
              <w:t>련된 실제 증명자료를 제출하여야 한다</w:t>
            </w:r>
            <w:r>
              <w:rPr>
                <w:rFonts w:ascii="한컴바탕" w:eastAsia="한컴바탕" w:hAnsi="한컴바탕" w:cs="한컴바탕"/>
                <w:spacing w:val="-6"/>
                <w:szCs w:val="21"/>
                <w:lang w:eastAsia="ko-KR"/>
              </w:rPr>
              <w:t>.</w:t>
            </w:r>
          </w:p>
          <w:p w:rsidR="002F359D" w:rsidRPr="002F359D" w:rsidRDefault="002F359D" w:rsidP="002F35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F359D">
              <w:rPr>
                <w:rFonts w:ascii="한컴바탕" w:eastAsia="한컴바탕" w:hAnsi="한컴바탕" w:cs="한컴바탕"/>
                <w:spacing w:val="-6"/>
                <w:szCs w:val="21"/>
                <w:lang w:eastAsia="ko-KR"/>
              </w:rPr>
              <w:t xml:space="preserve">5.2 은행은 “고객이해”, “업무이해”, “실사보고”등 업무전개 원칙을 이행하여야 하며, 경내기구가 자본항목 수입 환결제와 지급 처리시, 진실한 심사책임을 다하여야 한다. 매 자금지급 처리 시, 모두 심사 전 매 지급증명자료의 진실성과 적합성을 심사하여야 한다. 은행은 경내기구의 자본항목 외화수입 환결제 및 사용한 관련 증명자료를 5년 동안 보존하여야 한다. </w:t>
            </w:r>
          </w:p>
          <w:p w:rsidR="002F359D" w:rsidRPr="002F359D" w:rsidRDefault="002F359D" w:rsidP="002F359D">
            <w:pPr>
              <w:wordWrap w:val="0"/>
              <w:autoSpaceDN w:val="0"/>
              <w:snapToGrid w:val="0"/>
              <w:spacing w:line="290" w:lineRule="atLeast"/>
              <w:jc w:val="left"/>
              <w:rPr>
                <w:rFonts w:ascii="한컴바탕" w:eastAsia="한컴바탕" w:hAnsi="한컴바탕" w:cs="한컴바탕" w:hint="eastAsia"/>
                <w:spacing w:val="4"/>
                <w:szCs w:val="21"/>
                <w:lang w:eastAsia="ko-KR"/>
              </w:rPr>
            </w:pPr>
            <w:r w:rsidRPr="002F359D">
              <w:rPr>
                <w:rFonts w:ascii="한컴바탕" w:eastAsia="한컴바탕" w:hAnsi="한컴바탕" w:cs="한컴바탕" w:hint="eastAsia"/>
                <w:spacing w:val="4"/>
                <w:szCs w:val="21"/>
                <w:lang w:eastAsia="ko-KR"/>
              </w:rPr>
              <w:t>은행은</w:t>
            </w:r>
            <w:r w:rsidRPr="002F359D">
              <w:rPr>
                <w:rFonts w:ascii="한컴바탕" w:eastAsia="한컴바탕" w:hAnsi="한컴바탕" w:cs="한컴바탕"/>
                <w:spacing w:val="4"/>
                <w:szCs w:val="21"/>
                <w:lang w:eastAsia="ko-KR"/>
              </w:rPr>
              <w:t xml:space="preserve"> &lt;국가외환관리국의 &lt;금융기관 외환업무 데이터수집 규범(1.0판)&gt;발표에 관한 통지&gt;(회발[2014]18호)의 요구에 따라, 즉시 자본금계좌, 경내자산현금계좌, 경내재투자계좌, 외채전용계좌, 경외상장전용계좌, 기타유형의 자본항목계좌, 환결제 지급대기계좌(계좌유형 코드2113)관련된 계좌, 크로스보더(cross-border)수지, 경내이체, 계좌 내 환매매 등 정보를 상부에 보고한다. 그 중, 환결제 지급대기계좌와 기타 인민폐 계좌 간의 자금이체는 경</w:t>
            </w:r>
            <w:r w:rsidRPr="002F359D">
              <w:rPr>
                <w:rFonts w:ascii="한컴바탕" w:eastAsia="한컴바탕" w:hAnsi="한컴바탕" w:cs="한컴바탕" w:hint="eastAsia"/>
                <w:spacing w:val="4"/>
                <w:szCs w:val="21"/>
                <w:lang w:eastAsia="ko-KR"/>
              </w:rPr>
              <w:t>내</w:t>
            </w:r>
            <w:r w:rsidRPr="002F359D">
              <w:rPr>
                <w:rFonts w:ascii="한컴바탕" w:eastAsia="한컴바탕" w:hAnsi="한컴바탕" w:cs="한컴바탕"/>
                <w:spacing w:val="4"/>
                <w:szCs w:val="21"/>
                <w:lang w:eastAsia="ko-KR"/>
              </w:rPr>
              <w:t xml:space="preserve"> 수불금증명 작성을 통해 경내이체정보를 보고하여야 하며, 또한 “전표 번호”란 중 자금용도 코드(회발[2014]18호 문건 중 “7.10 환결제용도코드”에 따라 작성)를 작성하고, 화물무역 조사항목하의 지급을 제외하며, 기타이체의 거래코드는 모두 “929070”으로 기입한다. </w:t>
            </w:r>
          </w:p>
          <w:p w:rsidR="002F359D" w:rsidRPr="002F359D" w:rsidRDefault="002F359D" w:rsidP="002F35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F359D">
              <w:rPr>
                <w:rFonts w:ascii="한컴바탕" w:eastAsia="한컴바탕" w:hAnsi="한컴바탕" w:cs="한컴바탕"/>
                <w:spacing w:val="-6"/>
                <w:szCs w:val="21"/>
                <w:lang w:eastAsia="ko-KR"/>
              </w:rPr>
              <w:t xml:space="preserve">5.3 경내기구가 확실한 특수원인을 가지고 있어 잠시 실제 증명자료를 제출할 수 없는 경우, 은행은 실사보고의무 이행 및 거래완비 실제거래 배경의 전제 하의 그 관련지급 처리를 확정하고, 또한 업무당일 외환국 관련업무 시스템을 통해 외환국에 특수사항등록 제출을 처리하여야 한다. 은행은 지급완료 후 20 영업일 내 경내기구가 추가 제출한 관련증명자료를 수집 및 심사하여야 하며, 관련 업무 시스템을 통해 외환국에 특수사항등록업무의 실제증명자료를 추가 제출한 </w:t>
            </w:r>
            <w:r w:rsidRPr="002F359D">
              <w:rPr>
                <w:rFonts w:ascii="한컴바탕" w:eastAsia="한컴바탕" w:hAnsi="한컴바탕" w:cs="한컴바탕" w:hint="eastAsia"/>
                <w:spacing w:val="-6"/>
                <w:szCs w:val="21"/>
                <w:lang w:eastAsia="ko-KR"/>
              </w:rPr>
              <w:t>상황을</w:t>
            </w:r>
            <w:r w:rsidRPr="002F359D">
              <w:rPr>
                <w:rFonts w:ascii="한컴바탕" w:eastAsia="한컴바탕" w:hAnsi="한컴바탕" w:cs="한컴바탕"/>
                <w:spacing w:val="-6"/>
                <w:szCs w:val="21"/>
                <w:lang w:eastAsia="ko-KR"/>
              </w:rPr>
              <w:t xml:space="preserve"> 보고하여야 한다</w:t>
            </w:r>
            <w:r>
              <w:rPr>
                <w:rFonts w:ascii="한컴바탕" w:eastAsia="한컴바탕" w:hAnsi="한컴바탕" w:cs="한컴바탕"/>
                <w:spacing w:val="-6"/>
                <w:szCs w:val="21"/>
                <w:lang w:eastAsia="ko-KR"/>
              </w:rPr>
              <w:t xml:space="preserve">. </w:t>
            </w:r>
          </w:p>
          <w:p w:rsidR="002F359D" w:rsidRPr="002F359D" w:rsidRDefault="002F359D" w:rsidP="002F35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F359D">
              <w:rPr>
                <w:rFonts w:ascii="한컴바탕" w:eastAsia="한컴바탕" w:hAnsi="한컴바탕" w:cs="한컴바탕" w:hint="eastAsia"/>
                <w:spacing w:val="-6"/>
                <w:szCs w:val="21"/>
                <w:lang w:eastAsia="ko-KR"/>
              </w:rPr>
              <w:t>경내기구가</w:t>
            </w:r>
            <w:r w:rsidRPr="002F359D">
              <w:rPr>
                <w:rFonts w:ascii="한컴바탕" w:eastAsia="한컴바탕" w:hAnsi="한컴바탕" w:cs="한컴바탕"/>
                <w:spacing w:val="-6"/>
                <w:szCs w:val="21"/>
                <w:lang w:eastAsia="ko-KR"/>
              </w:rPr>
              <w:t xml:space="preserve"> 예비금 명의로 자본항목수입을 사용한 경우, 은행은 상술한 실제증명자료를 제출하도록 요구하지 않아도 된다. 단일기관 매월 예비금(자유 환결제와 지급 환결제 포함)지급 누적금액은 20만 달러를 초과할 수 없다. </w:t>
            </w:r>
          </w:p>
          <w:p w:rsidR="002F359D" w:rsidRPr="002F359D" w:rsidRDefault="002F359D" w:rsidP="002F35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F359D">
              <w:rPr>
                <w:rFonts w:ascii="한컴바탕" w:eastAsia="한컴바탕" w:hAnsi="한컴바탕" w:cs="한컴바탕" w:hint="eastAsia"/>
                <w:spacing w:val="-6"/>
                <w:szCs w:val="21"/>
                <w:lang w:eastAsia="ko-KR"/>
              </w:rPr>
              <w:t>일회성으로</w:t>
            </w:r>
            <w:r w:rsidRPr="002F359D">
              <w:rPr>
                <w:rFonts w:ascii="한컴바탕" w:eastAsia="한컴바탕" w:hAnsi="한컴바탕" w:cs="한컴바탕"/>
                <w:spacing w:val="-6"/>
                <w:szCs w:val="21"/>
                <w:lang w:eastAsia="ko-KR"/>
              </w:rPr>
              <w:t xml:space="preserve"> 모든 자본항목 외화수입 지급 환결제를 신청하거나 또는 환결제 지급대기계좌 중 모든 인민폐 자금 지급을 신청한 경내기구에 대해, 만약 관련된 실제 증명자료를 제출할 수 없는 경우 </w:t>
            </w:r>
            <w:r w:rsidRPr="002F359D">
              <w:rPr>
                <w:rFonts w:ascii="한컴바탕" w:eastAsia="한컴바탕" w:hAnsi="한컴바탕" w:cs="한컴바탕"/>
                <w:spacing w:val="-6"/>
                <w:szCs w:val="21"/>
                <w:lang w:eastAsia="ko-KR"/>
              </w:rPr>
              <w:lastRenderedPageBreak/>
              <w:t>은행은 그 환결제 및 지급을 처리할 수 없다</w:t>
            </w:r>
            <w:r>
              <w:rPr>
                <w:rFonts w:ascii="한컴바탕" w:eastAsia="한컴바탕" w:hAnsi="한컴바탕" w:cs="한컴바탕"/>
                <w:spacing w:val="-6"/>
                <w:szCs w:val="21"/>
                <w:lang w:eastAsia="ko-KR"/>
              </w:rPr>
              <w:t>.</w:t>
            </w:r>
          </w:p>
          <w:p w:rsidR="002F359D" w:rsidRPr="002F359D" w:rsidRDefault="002F359D" w:rsidP="002F35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F359D">
              <w:rPr>
                <w:rFonts w:ascii="한컴바탕" w:eastAsia="한컴바탕" w:hAnsi="한컴바탕" w:cs="한컴바탕"/>
                <w:spacing w:val="-6"/>
                <w:szCs w:val="21"/>
                <w:lang w:eastAsia="ko-KR"/>
              </w:rPr>
              <w:t>6. 외환국의 사후감독관리와 위법조사 한 단계 강화</w:t>
            </w:r>
          </w:p>
          <w:p w:rsidR="002F359D" w:rsidRPr="002F359D" w:rsidRDefault="002F359D" w:rsidP="002F35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F359D">
              <w:rPr>
                <w:rFonts w:ascii="한컴바탕" w:eastAsia="한컴바탕" w:hAnsi="한컴바탕" w:cs="한컴바탕"/>
                <w:spacing w:val="-6"/>
                <w:szCs w:val="21"/>
                <w:lang w:eastAsia="ko-KR"/>
              </w:rPr>
              <w:t xml:space="preserve">6.1 </w:t>
            </w:r>
            <w:r w:rsidRPr="002F359D">
              <w:rPr>
                <w:rFonts w:ascii="한컴바탕" w:eastAsia="한컴바탕" w:hAnsi="한컴바탕" w:cs="한컴바탕"/>
                <w:spacing w:val="6"/>
                <w:szCs w:val="21"/>
                <w:lang w:eastAsia="ko-KR"/>
              </w:rPr>
              <w:t xml:space="preserve">외환국은 &lt;중화인민공화국 외환관리조례&gt;(국무원령 제532호), &lt;국가외환관리국의 &lt;외채등기관리방법&gt; 발표에 관한 통지&gt;(회발[2013]19호), &lt;국가외환관리국의 &lt;외국투자자 경내 직접투자 외환관리규정&gt; 및 관련문건 배포에 관한 통지&gt;(회발[2013]21호), &lt;국가외환관리국의 경외상장 외환관리 관련문제에 관한 통지&gt;(회발[2014]54호)등 관련규정에 근거하여 은행이 경내기구 자본항목 수입 환결제와 지급사용 등 업무를 처리하는 것에 대해 적법한 </w:t>
            </w:r>
            <w:r w:rsidRPr="002F359D">
              <w:rPr>
                <w:rFonts w:ascii="한컴바탕" w:eastAsia="한컴바탕" w:hAnsi="한컴바탕" w:cs="한컴바탕" w:hint="eastAsia"/>
                <w:spacing w:val="6"/>
                <w:szCs w:val="21"/>
                <w:lang w:eastAsia="ko-KR"/>
              </w:rPr>
              <w:t>지도와</w:t>
            </w:r>
            <w:r w:rsidRPr="002F359D">
              <w:rPr>
                <w:rFonts w:ascii="한컴바탕" w:eastAsia="한컴바탕" w:hAnsi="한컴바탕" w:cs="한컴바탕"/>
                <w:spacing w:val="6"/>
                <w:szCs w:val="21"/>
                <w:lang w:eastAsia="ko-KR"/>
              </w:rPr>
              <w:t xml:space="preserve"> 조사를 강화한다. 조사 방식은 관련업무 주체에게 서명설명과 업무자료, 이행책임자, 현장조사 또는 복사업무주체 관련자료 및 법규위반상황 통보 등을 요구하는 것을 포함한다. </w:t>
            </w:r>
          </w:p>
          <w:p w:rsidR="002F359D" w:rsidRPr="002F359D" w:rsidRDefault="002F359D" w:rsidP="002F35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F359D">
              <w:rPr>
                <w:rFonts w:ascii="한컴바탕" w:eastAsia="한컴바탕" w:hAnsi="한컴바탕" w:cs="한컴바탕"/>
                <w:spacing w:val="-6"/>
                <w:szCs w:val="21"/>
                <w:lang w:eastAsia="ko-KR"/>
              </w:rPr>
              <w:t xml:space="preserve">6.2 본 통지를 위반하여 자본항목수입 환결제와 지급사용 등 업무를 처리한 경내기구와 은행에 대해, 외환국은 &lt;중화인민공화국 외환관리조례&gt; 및 관련규정에 따라 조사하여 처리한다. 엄중 및 악의적으로 위반한 은행에 대해서는 법에 의거 그 자본 항목하의 환결제 업무처리를 잠시 중단시킬 수 있다. 엄중 및 악의적으로 위반한 경내기구에 대해서는 법에 의거 그 자유 환결제를 처리하는 자격을 잠시 중단시키거나 또는 외환국 자본항목 정보시스템 중 그 진행업무에 대해 </w:t>
            </w:r>
            <w:r w:rsidRPr="002F359D">
              <w:rPr>
                <w:rFonts w:ascii="한컴바탕" w:eastAsia="한컴바탕" w:hAnsi="한컴바탕" w:cs="한컴바탕" w:hint="eastAsia"/>
                <w:spacing w:val="-6"/>
                <w:szCs w:val="21"/>
                <w:lang w:eastAsia="ko-KR"/>
              </w:rPr>
              <w:t>관리통제를</w:t>
            </w:r>
            <w:r w:rsidRPr="002F359D">
              <w:rPr>
                <w:rFonts w:ascii="한컴바탕" w:eastAsia="한컴바탕" w:hAnsi="한컴바탕" w:cs="한컴바탕"/>
                <w:spacing w:val="-6"/>
                <w:szCs w:val="21"/>
                <w:lang w:eastAsia="ko-KR"/>
              </w:rPr>
              <w:t xml:space="preserve"> 할 수 있으며, 또한 서명설명 제출 및 관련 조정을 진행하기 전, 이를 위해 기타 자본항목하의 업무 처리 또는 업무 관리통제를 취소할 수 없다</w:t>
            </w:r>
            <w:r>
              <w:rPr>
                <w:rFonts w:ascii="한컴바탕" w:eastAsia="한컴바탕" w:hAnsi="한컴바탕" w:cs="한컴바탕"/>
                <w:spacing w:val="-6"/>
                <w:szCs w:val="21"/>
                <w:lang w:eastAsia="ko-KR"/>
              </w:rPr>
              <w:t xml:space="preserve">.   </w:t>
            </w:r>
          </w:p>
          <w:p w:rsidR="002F359D" w:rsidRPr="002F359D" w:rsidRDefault="002F359D" w:rsidP="002F359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F359D">
              <w:rPr>
                <w:rFonts w:ascii="한컴바탕" w:eastAsia="한컴바탕" w:hAnsi="한컴바탕" w:cs="한컴바탕" w:hint="eastAsia"/>
                <w:spacing w:val="6"/>
                <w:szCs w:val="21"/>
                <w:lang w:eastAsia="ko-KR"/>
              </w:rPr>
              <w:t>본</w:t>
            </w:r>
            <w:r w:rsidRPr="002F359D">
              <w:rPr>
                <w:rFonts w:ascii="한컴바탕" w:eastAsia="한컴바탕" w:hAnsi="한컴바탕" w:cs="한컴바탕"/>
                <w:spacing w:val="6"/>
                <w:szCs w:val="21"/>
                <w:lang w:eastAsia="ko-KR"/>
              </w:rPr>
              <w:t xml:space="preserve"> 통지는 발표일로부터 실시한다. &lt;국가외환관리국의 &lt;외채등기관리방법&gt; 발표에 관한 통지&gt;(회발[2013]19호), &lt;국가외환관리국의 경외상장 외환관리 관련문제에 관한 통지&gt;(회발[2014]54호), &lt;국가외환관리국의 외상투자기업 외환자본금 환결제 관리방식 개혁에 관한 통지&gt;(회발[2015]19호) 및 &lt;국가외환관리국의 &lt;다국적기업 외환자금집중운영 관리규정&gt; 배포에 관한 통지&gt;(회발[2015]36호) 등 이전규정과 본 통지내용이 불일치할 경우, 본 통지를 기준으로 한다.</w:t>
            </w:r>
          </w:p>
          <w:p w:rsidR="002F359D" w:rsidRPr="002F359D" w:rsidRDefault="002F359D" w:rsidP="002F359D">
            <w:pPr>
              <w:wordWrap w:val="0"/>
              <w:autoSpaceDN w:val="0"/>
              <w:snapToGrid w:val="0"/>
              <w:spacing w:line="290" w:lineRule="atLeast"/>
              <w:jc w:val="left"/>
              <w:rPr>
                <w:rFonts w:ascii="한컴바탕" w:eastAsia="한컴바탕" w:hAnsi="한컴바탕" w:cs="한컴바탕"/>
                <w:spacing w:val="-6"/>
                <w:szCs w:val="21"/>
                <w:lang w:eastAsia="ko-KR"/>
              </w:rPr>
            </w:pPr>
            <w:r w:rsidRPr="002F359D">
              <w:rPr>
                <w:rFonts w:ascii="한컴바탕" w:eastAsia="한컴바탕" w:hAnsi="한컴바탕" w:cs="한컴바탕" w:hint="eastAsia"/>
                <w:spacing w:val="-6"/>
                <w:szCs w:val="21"/>
                <w:lang w:eastAsia="ko-KR"/>
              </w:rPr>
              <w:t>국가외환관리국</w:t>
            </w:r>
            <w:r w:rsidRPr="002F359D">
              <w:rPr>
                <w:rFonts w:ascii="한컴바탕" w:eastAsia="한컴바탕" w:hAnsi="한컴바탕" w:cs="한컴바탕"/>
                <w:spacing w:val="-6"/>
                <w:szCs w:val="21"/>
                <w:lang w:eastAsia="ko-KR"/>
              </w:rPr>
              <w:t xml:space="preserve"> 각 분국 및 외환관리부는 본 통지 수령 후 즉시 관할 내 중심지국, 지국, 도시상업은행 및 외자은행에 전달하여야 한다. 각 중국자본</w:t>
            </w:r>
            <w:r w:rsidRPr="002F359D">
              <w:rPr>
                <w:rFonts w:ascii="한컴바탕" w:eastAsia="한컴바탕" w:hAnsi="한컴바탕" w:cs="한컴바탕"/>
                <w:spacing w:val="-6"/>
                <w:szCs w:val="21"/>
                <w:lang w:eastAsia="ko-KR"/>
              </w:rPr>
              <w:lastRenderedPageBreak/>
              <w:t xml:space="preserve">의 지정거래 외국환은행은 본 통지 수령 후, 관할 분 지점에 신속히 전달하여야 한다. 집행 중 문제가 발생할 경우, 국가외환관리국 자본항목관리사에게 보고하길 바란다. </w:t>
            </w:r>
          </w:p>
          <w:p w:rsidR="002F359D" w:rsidRPr="002F359D" w:rsidRDefault="002F359D" w:rsidP="002F359D">
            <w:pPr>
              <w:wordWrap w:val="0"/>
              <w:autoSpaceDN w:val="0"/>
              <w:snapToGrid w:val="0"/>
              <w:spacing w:line="290" w:lineRule="atLeast"/>
              <w:jc w:val="left"/>
              <w:rPr>
                <w:rFonts w:ascii="한컴바탕" w:eastAsia="한컴바탕" w:hAnsi="한컴바탕" w:cs="한컴바탕"/>
                <w:spacing w:val="-6"/>
                <w:szCs w:val="21"/>
                <w:lang w:eastAsia="ko-KR"/>
              </w:rPr>
            </w:pPr>
          </w:p>
          <w:p w:rsidR="002F359D" w:rsidRPr="002F359D" w:rsidRDefault="002F359D" w:rsidP="002F359D">
            <w:pPr>
              <w:wordWrap w:val="0"/>
              <w:autoSpaceDN w:val="0"/>
              <w:snapToGrid w:val="0"/>
              <w:spacing w:line="290" w:lineRule="atLeast"/>
              <w:jc w:val="left"/>
              <w:rPr>
                <w:rFonts w:ascii="한컴바탕" w:eastAsia="한컴바탕" w:hAnsi="한컴바탕" w:cs="한컴바탕"/>
                <w:spacing w:val="-6"/>
                <w:szCs w:val="21"/>
                <w:lang w:eastAsia="ko-KR"/>
              </w:rPr>
            </w:pPr>
            <w:r w:rsidRPr="002F359D">
              <w:rPr>
                <w:rFonts w:ascii="한컴바탕" w:eastAsia="한컴바탕" w:hAnsi="한컴바탕" w:cs="한컴바탕" w:hint="eastAsia"/>
                <w:spacing w:val="-6"/>
                <w:szCs w:val="21"/>
                <w:lang w:eastAsia="ko-KR"/>
              </w:rPr>
              <w:t>첨부</w:t>
            </w:r>
            <w:r w:rsidRPr="002F359D">
              <w:rPr>
                <w:rFonts w:ascii="한컴바탕" w:eastAsia="한컴바탕" w:hAnsi="한컴바탕" w:cs="한컴바탕"/>
                <w:spacing w:val="-6"/>
                <w:szCs w:val="21"/>
                <w:lang w:eastAsia="ko-KR"/>
              </w:rPr>
              <w:t>: 자본항목계좌자금지급명령서(생략)</w:t>
            </w:r>
          </w:p>
          <w:p w:rsidR="002F359D" w:rsidRDefault="002F359D" w:rsidP="002F359D">
            <w:pPr>
              <w:wordWrap w:val="0"/>
              <w:autoSpaceDN w:val="0"/>
              <w:snapToGrid w:val="0"/>
              <w:spacing w:line="290" w:lineRule="atLeast"/>
              <w:jc w:val="left"/>
              <w:rPr>
                <w:rFonts w:ascii="한컴바탕" w:eastAsia="한컴바탕" w:hAnsi="한컴바탕" w:cs="한컴바탕" w:hint="eastAsia"/>
                <w:spacing w:val="-6"/>
                <w:szCs w:val="21"/>
              </w:rPr>
            </w:pPr>
          </w:p>
          <w:p w:rsidR="002F359D" w:rsidRDefault="002F359D" w:rsidP="002F359D">
            <w:pPr>
              <w:wordWrap w:val="0"/>
              <w:autoSpaceDN w:val="0"/>
              <w:snapToGrid w:val="0"/>
              <w:spacing w:line="290" w:lineRule="atLeast"/>
              <w:jc w:val="left"/>
              <w:rPr>
                <w:rFonts w:ascii="한컴바탕" w:eastAsia="한컴바탕" w:hAnsi="한컴바탕" w:cs="한컴바탕" w:hint="eastAsia"/>
                <w:spacing w:val="-6"/>
                <w:szCs w:val="21"/>
              </w:rPr>
            </w:pPr>
          </w:p>
          <w:p w:rsidR="002F359D" w:rsidRPr="002F359D" w:rsidRDefault="002F359D" w:rsidP="002F359D">
            <w:pPr>
              <w:wordWrap w:val="0"/>
              <w:autoSpaceDN w:val="0"/>
              <w:snapToGrid w:val="0"/>
              <w:spacing w:line="290" w:lineRule="atLeast"/>
              <w:jc w:val="left"/>
              <w:rPr>
                <w:rFonts w:ascii="한컴바탕" w:eastAsia="한컴바탕" w:hAnsi="한컴바탕" w:cs="한컴바탕" w:hint="eastAsia"/>
                <w:spacing w:val="-6"/>
                <w:szCs w:val="21"/>
              </w:rPr>
            </w:pPr>
            <w:r w:rsidRPr="002F359D">
              <w:rPr>
                <w:rFonts w:ascii="한컴바탕" w:eastAsia="한컴바탕" w:hAnsi="한컴바탕" w:cs="한컴바탕" w:hint="eastAsia"/>
                <w:spacing w:val="-6"/>
                <w:szCs w:val="21"/>
                <w:lang w:eastAsia="ko-KR"/>
              </w:rPr>
              <w:t>국가외환관리국</w:t>
            </w:r>
          </w:p>
          <w:p w:rsidR="00F6633C" w:rsidRPr="00F6633C" w:rsidRDefault="002F359D" w:rsidP="002F359D">
            <w:pPr>
              <w:wordWrap w:val="0"/>
              <w:autoSpaceDN w:val="0"/>
              <w:snapToGrid w:val="0"/>
              <w:spacing w:line="290" w:lineRule="atLeast"/>
              <w:jc w:val="left"/>
              <w:rPr>
                <w:rFonts w:ascii="한컴바탕" w:eastAsia="한컴바탕" w:hAnsi="한컴바탕" w:cs="한컴바탕"/>
                <w:spacing w:val="-6"/>
                <w:szCs w:val="21"/>
                <w:lang w:eastAsia="ko-KR"/>
              </w:rPr>
            </w:pPr>
            <w:r w:rsidRPr="002F359D">
              <w:rPr>
                <w:rFonts w:ascii="한컴바탕" w:eastAsia="한컴바탕" w:hAnsi="한컴바탕" w:cs="한컴바탕"/>
                <w:spacing w:val="-6"/>
                <w:szCs w:val="21"/>
                <w:lang w:eastAsia="ko-KR"/>
              </w:rPr>
              <w:t>2016년6월9일</w:t>
            </w: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2F359D" w:rsidRPr="002F359D" w:rsidRDefault="002F359D" w:rsidP="002F359D">
            <w:pPr>
              <w:wordWrap w:val="0"/>
              <w:autoSpaceDE w:val="0"/>
              <w:autoSpaceDN w:val="0"/>
              <w:snapToGrid w:val="0"/>
              <w:spacing w:line="290" w:lineRule="atLeast"/>
              <w:jc w:val="center"/>
              <w:rPr>
                <w:rFonts w:ascii="SimSun" w:eastAsia="SimSun" w:hAnsi="SimSun"/>
                <w:b/>
                <w:spacing w:val="-14"/>
                <w:sz w:val="26"/>
                <w:szCs w:val="26"/>
              </w:rPr>
            </w:pPr>
            <w:r w:rsidRPr="002F359D">
              <w:rPr>
                <w:rFonts w:ascii="SimSun" w:eastAsia="SimSun" w:hAnsi="SimSun" w:hint="eastAsia"/>
                <w:b/>
                <w:spacing w:val="-14"/>
                <w:sz w:val="26"/>
                <w:szCs w:val="26"/>
              </w:rPr>
              <w:t>国家外汇管理局关于改革和规范资本项目结汇管理政策的通知</w:t>
            </w:r>
          </w:p>
          <w:p w:rsidR="002F359D" w:rsidRPr="002F359D" w:rsidRDefault="002F359D" w:rsidP="002F359D">
            <w:pPr>
              <w:wordWrap w:val="0"/>
              <w:autoSpaceDE w:val="0"/>
              <w:autoSpaceDN w:val="0"/>
              <w:snapToGrid w:val="0"/>
              <w:spacing w:line="290" w:lineRule="atLeast"/>
              <w:jc w:val="center"/>
              <w:rPr>
                <w:rFonts w:ascii="SimSun" w:eastAsia="SimSun" w:hAnsi="SimSun"/>
                <w:szCs w:val="21"/>
              </w:rPr>
            </w:pPr>
            <w:r w:rsidRPr="002F359D">
              <w:rPr>
                <w:rFonts w:ascii="SimSun" w:eastAsia="SimSun" w:hAnsi="SimSun" w:hint="eastAsia"/>
                <w:szCs w:val="21"/>
              </w:rPr>
              <w:t>汇发〔</w:t>
            </w:r>
            <w:r w:rsidRPr="002F359D">
              <w:rPr>
                <w:rFonts w:ascii="SimSun" w:eastAsia="SimSun" w:hAnsi="SimSun"/>
                <w:szCs w:val="21"/>
              </w:rPr>
              <w:t>2016〕16</w:t>
            </w:r>
            <w:r w:rsidRPr="002F359D">
              <w:rPr>
                <w:rFonts w:ascii="SimSun" w:eastAsia="SimSun" w:hAnsi="SimSun" w:hint="eastAsia"/>
                <w:szCs w:val="21"/>
              </w:rPr>
              <w:t>号</w:t>
            </w:r>
          </w:p>
          <w:p w:rsidR="002F359D" w:rsidRPr="002F359D" w:rsidRDefault="002F359D" w:rsidP="002F359D">
            <w:pPr>
              <w:wordWrap w:val="0"/>
              <w:autoSpaceDE w:val="0"/>
              <w:autoSpaceDN w:val="0"/>
              <w:snapToGrid w:val="0"/>
              <w:spacing w:line="290" w:lineRule="atLeast"/>
              <w:rPr>
                <w:rFonts w:ascii="SimSun" w:eastAsia="SimSun" w:hAnsi="SimSun"/>
                <w:szCs w:val="21"/>
              </w:rPr>
            </w:pPr>
          </w:p>
          <w:p w:rsidR="002F359D" w:rsidRPr="002F359D" w:rsidRDefault="002F359D" w:rsidP="002F359D">
            <w:pPr>
              <w:wordWrap w:val="0"/>
              <w:autoSpaceDE w:val="0"/>
              <w:autoSpaceDN w:val="0"/>
              <w:snapToGrid w:val="0"/>
              <w:spacing w:line="290" w:lineRule="atLeast"/>
              <w:rPr>
                <w:rFonts w:ascii="SimSun" w:eastAsia="SimSun" w:hAnsi="SimSun"/>
                <w:szCs w:val="21"/>
              </w:rPr>
            </w:pPr>
          </w:p>
          <w:p w:rsidR="002F359D" w:rsidRPr="002F359D" w:rsidRDefault="002F359D" w:rsidP="002F359D">
            <w:pPr>
              <w:wordWrap w:val="0"/>
              <w:autoSpaceDE w:val="0"/>
              <w:autoSpaceDN w:val="0"/>
              <w:snapToGrid w:val="0"/>
              <w:spacing w:line="290" w:lineRule="atLeast"/>
              <w:rPr>
                <w:rFonts w:ascii="SimSun" w:eastAsia="SimSun" w:hAnsi="SimSun"/>
                <w:szCs w:val="21"/>
              </w:rPr>
            </w:pPr>
            <w:r w:rsidRPr="002F359D">
              <w:rPr>
                <w:rFonts w:ascii="SimSun" w:eastAsia="SimSun" w:hAnsi="SimSun" w:hint="eastAsia"/>
                <w:szCs w:val="21"/>
              </w:rPr>
              <w:t>国家外汇管理局各省、自治区、直辖市分局、外汇管理部，深圳、大连、青岛、厦门、宁波市分局；各中资外汇指定银行：</w:t>
            </w:r>
          </w:p>
          <w:p w:rsidR="002F359D" w:rsidRPr="002F359D" w:rsidRDefault="002F359D" w:rsidP="002F359D">
            <w:pPr>
              <w:wordWrap w:val="0"/>
              <w:autoSpaceDE w:val="0"/>
              <w:autoSpaceDN w:val="0"/>
              <w:snapToGrid w:val="0"/>
              <w:spacing w:line="290" w:lineRule="atLeast"/>
              <w:rPr>
                <w:rFonts w:ascii="SimSun" w:eastAsia="SimSun" w:hAnsi="SimSun"/>
                <w:szCs w:val="21"/>
              </w:rPr>
            </w:pPr>
            <w:r w:rsidRPr="002F359D">
              <w:rPr>
                <w:rFonts w:ascii="SimSun" w:eastAsia="SimSun" w:hAnsi="SimSun" w:hint="eastAsia"/>
                <w:szCs w:val="21"/>
              </w:rPr>
              <w:t>为进一步深化外汇管理体制改革，更好地满足和便利境内企业经营与资金运作需要，国家外汇管理局决定在总结前期部分地区试点经验的基础上，在全国范围内推广企业外债资金结汇管理方式改革，同时统一规范资本项目外汇收入意愿结汇及支付管理。现就有关问题通知如下：</w:t>
            </w:r>
            <w:r w:rsidRPr="002F359D">
              <w:rPr>
                <w:rFonts w:ascii="SimSun" w:eastAsia="SimSun" w:hAnsi="SimSun"/>
                <w:szCs w:val="21"/>
              </w:rPr>
              <w:t xml:space="preserve"> </w:t>
            </w:r>
          </w:p>
          <w:p w:rsidR="002F359D" w:rsidRPr="002F359D" w:rsidRDefault="002F359D" w:rsidP="002F359D">
            <w:pPr>
              <w:wordWrap w:val="0"/>
              <w:autoSpaceDE w:val="0"/>
              <w:autoSpaceDN w:val="0"/>
              <w:snapToGrid w:val="0"/>
              <w:spacing w:line="290" w:lineRule="atLeast"/>
              <w:rPr>
                <w:rFonts w:ascii="SimSun" w:eastAsia="SimSun" w:hAnsi="SimSun"/>
                <w:szCs w:val="21"/>
              </w:rPr>
            </w:pPr>
            <w:r w:rsidRPr="002F359D">
              <w:rPr>
                <w:rFonts w:ascii="SimSun" w:eastAsia="SimSun" w:hAnsi="SimSun" w:hint="eastAsia"/>
                <w:szCs w:val="21"/>
              </w:rPr>
              <w:t>一、</w:t>
            </w:r>
            <w:r w:rsidRPr="002F359D">
              <w:rPr>
                <w:rFonts w:ascii="SimSun" w:eastAsia="SimSun" w:hAnsi="SimSun"/>
                <w:szCs w:val="21"/>
              </w:rPr>
              <w:t xml:space="preserve"> </w:t>
            </w:r>
            <w:r w:rsidRPr="002F359D">
              <w:rPr>
                <w:rFonts w:ascii="SimSun" w:eastAsia="SimSun" w:hAnsi="SimSun" w:hint="eastAsia"/>
                <w:szCs w:val="21"/>
              </w:rPr>
              <w:t>在全国范围内实施企业外债资金结汇管理方式改革</w:t>
            </w:r>
          </w:p>
          <w:p w:rsidR="002F359D" w:rsidRPr="002F359D" w:rsidRDefault="002F359D" w:rsidP="002F359D">
            <w:pPr>
              <w:wordWrap w:val="0"/>
              <w:autoSpaceDE w:val="0"/>
              <w:autoSpaceDN w:val="0"/>
              <w:snapToGrid w:val="0"/>
              <w:spacing w:line="290" w:lineRule="atLeast"/>
              <w:rPr>
                <w:rFonts w:ascii="SimSun" w:eastAsia="SimSun" w:hAnsi="SimSun"/>
                <w:szCs w:val="21"/>
              </w:rPr>
            </w:pPr>
            <w:r w:rsidRPr="002F359D">
              <w:rPr>
                <w:rFonts w:ascii="SimSun" w:eastAsia="SimSun" w:hAnsi="SimSun" w:hint="eastAsia"/>
                <w:szCs w:val="21"/>
              </w:rPr>
              <w:t>在中国（上海）自由贸易试验区、中国（天津）自由贸易试验区、中国（广东）自由贸易试验区、中国（福建）自由贸易试验区相关试点经验的基础上，将企业外债资金结汇管理方式改革试点推广至全国。自本通知实施之日起，境内企业（包括中资企业和外商投资企业，不含金融机构）外债资金均可按照意愿结汇方式办理结汇手续。</w:t>
            </w:r>
          </w:p>
          <w:p w:rsidR="002F359D" w:rsidRPr="002F359D" w:rsidRDefault="002F359D" w:rsidP="002F359D">
            <w:pPr>
              <w:wordWrap w:val="0"/>
              <w:autoSpaceDE w:val="0"/>
              <w:autoSpaceDN w:val="0"/>
              <w:snapToGrid w:val="0"/>
              <w:spacing w:line="290" w:lineRule="atLeast"/>
              <w:rPr>
                <w:rFonts w:ascii="SimSun" w:eastAsia="SimSun" w:hAnsi="SimSun"/>
                <w:szCs w:val="21"/>
              </w:rPr>
            </w:pPr>
            <w:r w:rsidRPr="002F359D">
              <w:rPr>
                <w:rFonts w:ascii="SimSun" w:eastAsia="SimSun" w:hAnsi="SimSun" w:hint="eastAsia"/>
                <w:szCs w:val="21"/>
              </w:rPr>
              <w:t>二、</w:t>
            </w:r>
            <w:r w:rsidRPr="002F359D">
              <w:rPr>
                <w:rFonts w:ascii="SimSun" w:eastAsia="SimSun" w:hAnsi="SimSun"/>
                <w:szCs w:val="21"/>
              </w:rPr>
              <w:t xml:space="preserve"> </w:t>
            </w:r>
            <w:r w:rsidRPr="002F359D">
              <w:rPr>
                <w:rFonts w:ascii="SimSun" w:eastAsia="SimSun" w:hAnsi="SimSun" w:hint="eastAsia"/>
                <w:szCs w:val="21"/>
              </w:rPr>
              <w:t>统一境内机构资本项目外汇收入意愿结汇政策</w:t>
            </w:r>
          </w:p>
          <w:p w:rsidR="002F359D" w:rsidRPr="002F359D" w:rsidRDefault="002F359D" w:rsidP="002F359D">
            <w:pPr>
              <w:wordWrap w:val="0"/>
              <w:autoSpaceDE w:val="0"/>
              <w:autoSpaceDN w:val="0"/>
              <w:snapToGrid w:val="0"/>
              <w:spacing w:line="290" w:lineRule="atLeast"/>
              <w:rPr>
                <w:rFonts w:ascii="SimSun" w:eastAsia="SimSun" w:hAnsi="SimSun"/>
                <w:szCs w:val="21"/>
              </w:rPr>
            </w:pPr>
            <w:r w:rsidRPr="002F359D">
              <w:rPr>
                <w:rFonts w:ascii="SimSun" w:eastAsia="SimSun" w:hAnsi="SimSun" w:hint="eastAsia"/>
                <w:szCs w:val="21"/>
              </w:rPr>
              <w:t>资本项目外汇收入意愿结汇是指相关政策已经明确实行意愿结汇的资本项目外汇收入（包括外汇资本金、外债资金和境外上市调回资金等），可根据境内机构的实际经营需要在银行办理结汇。现行法规对境内机构资本项目外汇收入结汇存在限制性规定的，从其规定。</w:t>
            </w:r>
          </w:p>
          <w:p w:rsidR="002F359D" w:rsidRPr="002F359D" w:rsidRDefault="002F359D" w:rsidP="002F359D">
            <w:pPr>
              <w:wordWrap w:val="0"/>
              <w:autoSpaceDE w:val="0"/>
              <w:autoSpaceDN w:val="0"/>
              <w:snapToGrid w:val="0"/>
              <w:spacing w:line="290" w:lineRule="atLeast"/>
              <w:rPr>
                <w:rFonts w:ascii="SimSun" w:eastAsia="SimSun" w:hAnsi="SimSun"/>
                <w:szCs w:val="21"/>
              </w:rPr>
            </w:pPr>
            <w:r w:rsidRPr="002F359D">
              <w:rPr>
                <w:rFonts w:ascii="SimSun" w:eastAsia="SimSun" w:hAnsi="SimSun" w:hint="eastAsia"/>
                <w:szCs w:val="21"/>
              </w:rPr>
              <w:t>境内机构资本项目外汇收入意愿结汇比例暂定为</w:t>
            </w:r>
            <w:r w:rsidRPr="002F359D">
              <w:rPr>
                <w:rFonts w:ascii="SimSun" w:eastAsia="SimSun" w:hAnsi="SimSun"/>
                <w:szCs w:val="21"/>
              </w:rPr>
              <w:t>100%。</w:t>
            </w:r>
            <w:r w:rsidRPr="002F359D">
              <w:rPr>
                <w:rFonts w:ascii="SimSun" w:eastAsia="SimSun" w:hAnsi="SimSun" w:hint="eastAsia"/>
                <w:szCs w:val="21"/>
              </w:rPr>
              <w:t>国家外汇管理局可根据国际收支形势适时对上述比例进行调整。</w:t>
            </w:r>
          </w:p>
          <w:p w:rsidR="002F359D" w:rsidRPr="002F359D" w:rsidRDefault="002F359D" w:rsidP="002F359D">
            <w:pPr>
              <w:wordWrap w:val="0"/>
              <w:autoSpaceDE w:val="0"/>
              <w:autoSpaceDN w:val="0"/>
              <w:snapToGrid w:val="0"/>
              <w:spacing w:line="290" w:lineRule="atLeast"/>
              <w:rPr>
                <w:rFonts w:ascii="SimSun" w:eastAsia="SimSun" w:hAnsi="SimSun"/>
                <w:spacing w:val="20"/>
                <w:szCs w:val="21"/>
              </w:rPr>
            </w:pPr>
            <w:r w:rsidRPr="002F359D">
              <w:rPr>
                <w:rFonts w:ascii="SimSun" w:eastAsia="SimSun" w:hAnsi="SimSun" w:hint="eastAsia"/>
                <w:spacing w:val="20"/>
                <w:szCs w:val="21"/>
              </w:rPr>
              <w:t>在实行资本项目外汇收入意愿结汇的同时，境内机构仍可选择按照支付结汇制使用其外汇收入。银行按照支付结汇原则为境内机构办理每一笔结汇业务时，均应</w:t>
            </w:r>
            <w:r w:rsidRPr="002F359D">
              <w:rPr>
                <w:rFonts w:ascii="SimSun" w:eastAsia="SimSun" w:hAnsi="SimSun" w:hint="eastAsia"/>
                <w:spacing w:val="20"/>
                <w:szCs w:val="21"/>
              </w:rPr>
              <w:lastRenderedPageBreak/>
              <w:t>审核境内机构上一笔结汇（包括意愿结汇和支付结汇）资金使用的真实性与合规性。</w:t>
            </w:r>
          </w:p>
          <w:p w:rsidR="002F359D" w:rsidRPr="002F359D" w:rsidRDefault="002F359D" w:rsidP="002F359D">
            <w:pPr>
              <w:wordWrap w:val="0"/>
              <w:autoSpaceDE w:val="0"/>
              <w:autoSpaceDN w:val="0"/>
              <w:snapToGrid w:val="0"/>
              <w:spacing w:line="290" w:lineRule="atLeast"/>
              <w:rPr>
                <w:rFonts w:ascii="SimSun" w:eastAsia="SimSun" w:hAnsi="SimSun"/>
                <w:spacing w:val="12"/>
                <w:szCs w:val="21"/>
              </w:rPr>
            </w:pPr>
            <w:r w:rsidRPr="002F359D">
              <w:rPr>
                <w:rFonts w:ascii="SimSun" w:eastAsia="SimSun" w:hAnsi="SimSun" w:hint="eastAsia"/>
                <w:spacing w:val="12"/>
                <w:szCs w:val="21"/>
              </w:rPr>
              <w:t>境内机构外汇收入境内原币划转及其跨境对外支付按现行外汇管理规定办理。</w:t>
            </w:r>
          </w:p>
          <w:p w:rsidR="002F359D" w:rsidRPr="002F359D" w:rsidRDefault="002F359D" w:rsidP="002F359D">
            <w:pPr>
              <w:wordWrap w:val="0"/>
              <w:autoSpaceDE w:val="0"/>
              <w:autoSpaceDN w:val="0"/>
              <w:snapToGrid w:val="0"/>
              <w:spacing w:line="290" w:lineRule="atLeast"/>
              <w:rPr>
                <w:rFonts w:ascii="SimSun" w:eastAsia="SimSun" w:hAnsi="SimSun"/>
                <w:szCs w:val="21"/>
              </w:rPr>
            </w:pPr>
            <w:r w:rsidRPr="002F359D">
              <w:rPr>
                <w:rFonts w:ascii="SimSun" w:eastAsia="SimSun" w:hAnsi="SimSun" w:hint="eastAsia"/>
                <w:szCs w:val="21"/>
              </w:rPr>
              <w:t>三、境内机构资本项目外汇收入意愿结汇所得人民币资金纳入结汇待支付账户管理</w:t>
            </w:r>
          </w:p>
          <w:p w:rsidR="002F359D" w:rsidRPr="002F359D" w:rsidRDefault="002F359D" w:rsidP="002F359D">
            <w:pPr>
              <w:wordWrap w:val="0"/>
              <w:autoSpaceDE w:val="0"/>
              <w:autoSpaceDN w:val="0"/>
              <w:snapToGrid w:val="0"/>
              <w:spacing w:line="290" w:lineRule="atLeast"/>
              <w:rPr>
                <w:rFonts w:ascii="SimSun" w:eastAsia="SimSun" w:hAnsi="SimSun"/>
                <w:spacing w:val="4"/>
                <w:szCs w:val="21"/>
              </w:rPr>
            </w:pPr>
            <w:r w:rsidRPr="002F359D">
              <w:rPr>
                <w:rFonts w:ascii="SimSun" w:eastAsia="SimSun" w:hAnsi="SimSun" w:hint="eastAsia"/>
                <w:spacing w:val="4"/>
                <w:szCs w:val="21"/>
              </w:rPr>
              <w:t>境内机构原则上应在银行开立一一对应的“资本项目—结汇待支付账户”（以下简称结汇待支付账户），用于存放资本项目外汇收入意愿结汇所得人民币资金，并通过该账户办理各类支付手续。境内机构在同一银行网点开立的同名资本金账户、境内资产变现账户、境内再投资账户、外债专用账户、境外上市专用账户及符合规定的其他类型的资本项目账户，可共用一个结汇待支付账户。境内机构按支付结汇原则结汇所得人民币资金不得通过结汇待支付账户进行支付。</w:t>
            </w:r>
          </w:p>
          <w:p w:rsidR="002F359D" w:rsidRPr="002F359D" w:rsidRDefault="002F359D" w:rsidP="002F359D">
            <w:pPr>
              <w:wordWrap w:val="0"/>
              <w:autoSpaceDE w:val="0"/>
              <w:autoSpaceDN w:val="0"/>
              <w:snapToGrid w:val="0"/>
              <w:spacing w:line="290" w:lineRule="atLeast"/>
              <w:rPr>
                <w:rFonts w:ascii="SimSun" w:eastAsia="SimSun" w:hAnsi="SimSun"/>
                <w:szCs w:val="21"/>
              </w:rPr>
            </w:pPr>
            <w:r w:rsidRPr="002F359D">
              <w:rPr>
                <w:rFonts w:ascii="SimSun" w:eastAsia="SimSun" w:hAnsi="SimSun" w:hint="eastAsia"/>
                <w:szCs w:val="21"/>
              </w:rPr>
              <w:t>结汇待支付账户的收入范围包括：由同名或开展境内股权投资企业的资本金账户、境内资产变现账户、境内再投资账户、外债专用账户、境外上市专用账户及符合规定的其他类型的资本项目外汇账户结汇划入的资金，由同名或开展境内股权投资企业的结汇待支付账户划入的资金，由本账户合规划出后划回的资金，因交易撤销退回的资金，符合规定的人民币收入，账户利息收入，以及经外汇局（银行）登记或外汇局核准的其他收入。</w:t>
            </w:r>
          </w:p>
          <w:p w:rsidR="002F359D" w:rsidRDefault="002F359D" w:rsidP="002F359D">
            <w:pPr>
              <w:wordWrap w:val="0"/>
              <w:autoSpaceDE w:val="0"/>
              <w:autoSpaceDN w:val="0"/>
              <w:snapToGrid w:val="0"/>
              <w:spacing w:line="290" w:lineRule="atLeast"/>
              <w:rPr>
                <w:rFonts w:ascii="SimSun" w:eastAsia="SimSun" w:hAnsi="SimSun" w:hint="eastAsia"/>
                <w:szCs w:val="21"/>
              </w:rPr>
            </w:pPr>
            <w:r w:rsidRPr="002F359D">
              <w:rPr>
                <w:rFonts w:ascii="SimSun" w:eastAsia="SimSun" w:hAnsi="SimSun" w:hint="eastAsia"/>
                <w:szCs w:val="21"/>
              </w:rPr>
              <w:t>结汇待支付账户的支出范围包括：经营范围内的支出，支付境内股权投资资金和人民币保证金，划往资金集中管理专户、同名结汇待支付账户，购付汇或直接对外偿还外债、划往还本付息专用账户，购付汇或直接汇往境外用于回购境外股份或境外上市其他支出，外国投资者减资、撤资资金购付汇或直接对外支付，为境外机构代扣代缴境内税费，代境内国有股东将国有股减持收入划转社保基金，购付汇或直接对外支付经常项目支出及经外汇局（银行）登记或外汇</w:t>
            </w:r>
            <w:r w:rsidRPr="002F359D">
              <w:rPr>
                <w:rFonts w:ascii="SimSun" w:eastAsia="SimSun" w:hAnsi="SimSun" w:hint="eastAsia"/>
                <w:szCs w:val="21"/>
              </w:rPr>
              <w:lastRenderedPageBreak/>
              <w:t>局核准的其他资本项目支出。</w:t>
            </w:r>
          </w:p>
          <w:p w:rsidR="002F359D" w:rsidRPr="002F359D" w:rsidRDefault="002F359D" w:rsidP="002F359D">
            <w:pPr>
              <w:wordWrap w:val="0"/>
              <w:autoSpaceDE w:val="0"/>
              <w:autoSpaceDN w:val="0"/>
              <w:snapToGrid w:val="0"/>
              <w:spacing w:line="290" w:lineRule="atLeast"/>
              <w:rPr>
                <w:rFonts w:ascii="SimSun" w:eastAsia="SimSun" w:hAnsi="SimSun"/>
                <w:szCs w:val="21"/>
              </w:rPr>
            </w:pPr>
          </w:p>
          <w:p w:rsidR="002F359D" w:rsidRPr="002F359D" w:rsidRDefault="002F359D" w:rsidP="002F359D">
            <w:pPr>
              <w:wordWrap w:val="0"/>
              <w:autoSpaceDE w:val="0"/>
              <w:autoSpaceDN w:val="0"/>
              <w:snapToGrid w:val="0"/>
              <w:spacing w:line="290" w:lineRule="atLeast"/>
              <w:rPr>
                <w:rFonts w:ascii="SimSun" w:eastAsia="SimSun" w:hAnsi="SimSun"/>
                <w:szCs w:val="21"/>
              </w:rPr>
            </w:pPr>
            <w:r w:rsidRPr="002F359D">
              <w:rPr>
                <w:rFonts w:ascii="SimSun" w:eastAsia="SimSun" w:hAnsi="SimSun" w:hint="eastAsia"/>
                <w:szCs w:val="21"/>
              </w:rPr>
              <w:t>结汇待支付账户内的人民币资金不得购汇划回资本项目外汇账户。由结汇待支付账户划出用于担保或支付其他保证金的人民币资金，除发生担保履约或违约扣款的，均需原路划回结汇待支付账户。</w:t>
            </w:r>
          </w:p>
          <w:p w:rsidR="002F359D" w:rsidRPr="002F359D" w:rsidRDefault="002F359D" w:rsidP="002F359D">
            <w:pPr>
              <w:wordWrap w:val="0"/>
              <w:autoSpaceDE w:val="0"/>
              <w:autoSpaceDN w:val="0"/>
              <w:snapToGrid w:val="0"/>
              <w:spacing w:line="290" w:lineRule="atLeast"/>
              <w:rPr>
                <w:rFonts w:ascii="SimSun" w:eastAsia="SimSun" w:hAnsi="SimSun"/>
                <w:szCs w:val="21"/>
              </w:rPr>
            </w:pPr>
            <w:r w:rsidRPr="002F359D">
              <w:rPr>
                <w:rFonts w:ascii="SimSun" w:eastAsia="SimSun" w:hAnsi="SimSun" w:hint="eastAsia"/>
                <w:szCs w:val="21"/>
              </w:rPr>
              <w:t>四、境内机构资本项目外汇收入的使用应在经营范围内遵循真实、自用原则</w:t>
            </w:r>
          </w:p>
          <w:p w:rsidR="002F359D" w:rsidRPr="002F359D" w:rsidRDefault="002F359D" w:rsidP="002F359D">
            <w:pPr>
              <w:wordWrap w:val="0"/>
              <w:autoSpaceDE w:val="0"/>
              <w:autoSpaceDN w:val="0"/>
              <w:snapToGrid w:val="0"/>
              <w:spacing w:line="290" w:lineRule="atLeast"/>
              <w:rPr>
                <w:rFonts w:ascii="SimSun" w:eastAsia="SimSun" w:hAnsi="SimSun"/>
                <w:szCs w:val="21"/>
              </w:rPr>
            </w:pPr>
            <w:r w:rsidRPr="002F359D">
              <w:rPr>
                <w:rFonts w:ascii="SimSun" w:eastAsia="SimSun" w:hAnsi="SimSun" w:hint="eastAsia"/>
                <w:szCs w:val="21"/>
              </w:rPr>
              <w:t>境内机构的资本项目外汇收入及其结汇所得人民币资金，可用于自身经营范围内的经常项下支出，以及法律法规允许的资本项下支出。</w:t>
            </w:r>
          </w:p>
          <w:p w:rsidR="002F359D" w:rsidRPr="002F359D" w:rsidRDefault="002F359D" w:rsidP="002F359D">
            <w:pPr>
              <w:wordWrap w:val="0"/>
              <w:autoSpaceDE w:val="0"/>
              <w:autoSpaceDN w:val="0"/>
              <w:snapToGrid w:val="0"/>
              <w:spacing w:line="290" w:lineRule="atLeast"/>
              <w:rPr>
                <w:rFonts w:ascii="SimSun" w:eastAsia="SimSun" w:hAnsi="SimSun"/>
                <w:szCs w:val="21"/>
              </w:rPr>
            </w:pPr>
            <w:r w:rsidRPr="002F359D">
              <w:rPr>
                <w:rFonts w:ascii="SimSun" w:eastAsia="SimSun" w:hAnsi="SimSun" w:hint="eastAsia"/>
                <w:szCs w:val="21"/>
              </w:rPr>
              <w:t>境内机构的资本项目外汇收入及其结汇所得人民币资金的使用，应当遵守以下规定：</w:t>
            </w:r>
          </w:p>
          <w:p w:rsidR="002F359D" w:rsidRPr="002F359D" w:rsidRDefault="002F359D" w:rsidP="002F359D">
            <w:pPr>
              <w:wordWrap w:val="0"/>
              <w:autoSpaceDE w:val="0"/>
              <w:autoSpaceDN w:val="0"/>
              <w:snapToGrid w:val="0"/>
              <w:spacing w:line="290" w:lineRule="atLeast"/>
              <w:rPr>
                <w:rFonts w:ascii="SimSun" w:eastAsia="SimSun" w:hAnsi="SimSun" w:hint="eastAsia"/>
                <w:szCs w:val="21"/>
              </w:rPr>
            </w:pPr>
            <w:r w:rsidRPr="002F359D">
              <w:rPr>
                <w:rFonts w:ascii="SimSun" w:eastAsia="SimSun" w:hAnsi="SimSun" w:hint="eastAsia"/>
                <w:szCs w:val="21"/>
              </w:rPr>
              <w:t>（一</w:t>
            </w:r>
            <w:r>
              <w:rPr>
                <w:rFonts w:ascii="SimSun" w:eastAsia="SimSun" w:hAnsi="SimSun" w:hint="eastAsia"/>
                <w:szCs w:val="21"/>
              </w:rPr>
              <w:t>）</w:t>
            </w:r>
            <w:r w:rsidRPr="002F359D">
              <w:rPr>
                <w:rFonts w:ascii="SimSun" w:eastAsia="SimSun" w:hAnsi="SimSun" w:hint="eastAsia"/>
                <w:szCs w:val="21"/>
              </w:rPr>
              <w:t>不得直接或间接用于企业经营范围之外或国家法律法规禁止的支出；</w:t>
            </w:r>
          </w:p>
          <w:p w:rsidR="002F359D" w:rsidRPr="002F359D" w:rsidRDefault="002F359D" w:rsidP="002F359D"/>
          <w:p w:rsidR="002F359D" w:rsidRPr="002F359D" w:rsidRDefault="002F359D" w:rsidP="002F359D">
            <w:pPr>
              <w:wordWrap w:val="0"/>
              <w:autoSpaceDE w:val="0"/>
              <w:autoSpaceDN w:val="0"/>
              <w:snapToGrid w:val="0"/>
              <w:spacing w:line="290" w:lineRule="atLeast"/>
              <w:rPr>
                <w:rFonts w:ascii="SimSun" w:eastAsia="SimSun" w:hAnsi="SimSun"/>
                <w:szCs w:val="21"/>
              </w:rPr>
            </w:pPr>
            <w:r w:rsidRPr="002F359D">
              <w:rPr>
                <w:rFonts w:ascii="SimSun" w:eastAsia="SimSun" w:hAnsi="SimSun" w:hint="eastAsia"/>
                <w:szCs w:val="21"/>
              </w:rPr>
              <w:t>（二）除另有明确规定外，不得直接或间接用于证券投资或除银行保本型产品之外的其他投资理财；</w:t>
            </w:r>
          </w:p>
          <w:p w:rsidR="002F359D" w:rsidRDefault="002F359D" w:rsidP="002F359D">
            <w:pPr>
              <w:wordWrap w:val="0"/>
              <w:autoSpaceDE w:val="0"/>
              <w:autoSpaceDN w:val="0"/>
              <w:snapToGrid w:val="0"/>
              <w:spacing w:line="290" w:lineRule="atLeast"/>
              <w:rPr>
                <w:rFonts w:ascii="SimSun" w:eastAsia="SimSun" w:hAnsi="SimSun" w:hint="eastAsia"/>
                <w:szCs w:val="21"/>
              </w:rPr>
            </w:pPr>
            <w:r w:rsidRPr="002F359D">
              <w:rPr>
                <w:rFonts w:ascii="SimSun" w:eastAsia="SimSun" w:hAnsi="SimSun" w:hint="eastAsia"/>
                <w:szCs w:val="21"/>
              </w:rPr>
              <w:t>（三）不得用于向非关联企业发放贷款，经营范围明确许可的情形除外；</w:t>
            </w:r>
          </w:p>
          <w:p w:rsidR="002F359D" w:rsidRPr="002F359D" w:rsidRDefault="002F359D" w:rsidP="002F359D">
            <w:pPr>
              <w:wordWrap w:val="0"/>
              <w:autoSpaceDE w:val="0"/>
              <w:autoSpaceDN w:val="0"/>
              <w:snapToGrid w:val="0"/>
              <w:spacing w:line="290" w:lineRule="atLeast"/>
              <w:rPr>
                <w:rFonts w:ascii="SimSun" w:eastAsia="SimSun" w:hAnsi="SimSun"/>
                <w:szCs w:val="21"/>
              </w:rPr>
            </w:pPr>
          </w:p>
          <w:p w:rsidR="002F359D" w:rsidRPr="002F359D" w:rsidRDefault="002F359D" w:rsidP="002F359D">
            <w:pPr>
              <w:wordWrap w:val="0"/>
              <w:autoSpaceDE w:val="0"/>
              <w:autoSpaceDN w:val="0"/>
              <w:snapToGrid w:val="0"/>
              <w:spacing w:line="290" w:lineRule="atLeast"/>
              <w:rPr>
                <w:rFonts w:ascii="SimSun" w:eastAsia="SimSun" w:hAnsi="SimSun"/>
                <w:szCs w:val="21"/>
              </w:rPr>
            </w:pPr>
            <w:r w:rsidRPr="002F359D">
              <w:rPr>
                <w:rFonts w:ascii="SimSun" w:eastAsia="SimSun" w:hAnsi="SimSun" w:hint="eastAsia"/>
                <w:szCs w:val="21"/>
              </w:rPr>
              <w:t>（四）不得用于建设、购买非自用房地产（房地产企业除外）。</w:t>
            </w:r>
          </w:p>
          <w:p w:rsidR="002F359D" w:rsidRPr="002F359D" w:rsidRDefault="002F359D" w:rsidP="002F359D">
            <w:pPr>
              <w:wordWrap w:val="0"/>
              <w:autoSpaceDE w:val="0"/>
              <w:autoSpaceDN w:val="0"/>
              <w:snapToGrid w:val="0"/>
              <w:spacing w:line="290" w:lineRule="atLeast"/>
              <w:rPr>
                <w:rFonts w:ascii="SimSun" w:eastAsia="SimSun" w:hAnsi="SimSun"/>
                <w:szCs w:val="21"/>
              </w:rPr>
            </w:pPr>
            <w:r w:rsidRPr="002F359D">
              <w:rPr>
                <w:rFonts w:ascii="SimSun" w:eastAsia="SimSun" w:hAnsi="SimSun" w:hint="eastAsia"/>
                <w:szCs w:val="21"/>
              </w:rPr>
              <w:t>境内机构与其他当事人之间对资本项目收入使用范围存在合同约定的，不得超出该合同约定的范围使用相关资金。除另有规定外，境内机构与其他当事人之间的合同约定不应与本通知存在冲突。</w:t>
            </w:r>
          </w:p>
          <w:p w:rsidR="002F359D" w:rsidRPr="002F359D" w:rsidRDefault="002F359D" w:rsidP="002F359D">
            <w:pPr>
              <w:wordWrap w:val="0"/>
              <w:autoSpaceDE w:val="0"/>
              <w:autoSpaceDN w:val="0"/>
              <w:snapToGrid w:val="0"/>
              <w:spacing w:line="290" w:lineRule="atLeast"/>
              <w:rPr>
                <w:rFonts w:ascii="SimSun" w:eastAsia="SimSun" w:hAnsi="SimSun"/>
                <w:szCs w:val="21"/>
              </w:rPr>
            </w:pPr>
            <w:r w:rsidRPr="002F359D">
              <w:rPr>
                <w:rFonts w:ascii="SimSun" w:eastAsia="SimSun" w:hAnsi="SimSun" w:hint="eastAsia"/>
                <w:szCs w:val="21"/>
              </w:rPr>
              <w:t>五、规范资本项目收入及其结汇资金的支付管理</w:t>
            </w:r>
          </w:p>
          <w:p w:rsidR="002F359D" w:rsidRPr="002F359D" w:rsidRDefault="002F359D" w:rsidP="002F359D">
            <w:pPr>
              <w:wordWrap w:val="0"/>
              <w:autoSpaceDE w:val="0"/>
              <w:autoSpaceDN w:val="0"/>
              <w:snapToGrid w:val="0"/>
              <w:spacing w:line="290" w:lineRule="atLeast"/>
              <w:rPr>
                <w:rFonts w:ascii="SimSun" w:eastAsia="SimSun" w:hAnsi="SimSun"/>
                <w:szCs w:val="21"/>
              </w:rPr>
            </w:pPr>
            <w:r w:rsidRPr="002F359D">
              <w:rPr>
                <w:rFonts w:ascii="SimSun" w:eastAsia="SimSun" w:hAnsi="SimSun" w:hint="eastAsia"/>
                <w:szCs w:val="21"/>
              </w:rPr>
              <w:t>（一）境内机构使用资本项目收入办理结汇和支付时，均应填写《资本项目账户资金支付命令函》（见附件）。结汇所得人民币资金直接划入结汇待支付账户的，境内机构不需要向银行提供资金用途证明材料。境内机构申请使用资本项目收入办理支付（包括结汇后不进入结汇待支付账户而是直接办理对外支付、从结汇待支付账户办理人民币对外支付或直接从资本项目外汇账户办理对外付汇）时，应如实向银行提供与资金</w:t>
            </w:r>
            <w:r w:rsidRPr="002F359D">
              <w:rPr>
                <w:rFonts w:ascii="SimSun" w:eastAsia="SimSun" w:hAnsi="SimSun" w:hint="eastAsia"/>
                <w:szCs w:val="21"/>
              </w:rPr>
              <w:lastRenderedPageBreak/>
              <w:t>用途相关的真实性证明材料。</w:t>
            </w:r>
          </w:p>
          <w:p w:rsidR="002F359D" w:rsidRPr="002F359D" w:rsidRDefault="002F359D" w:rsidP="002F359D">
            <w:pPr>
              <w:wordWrap w:val="0"/>
              <w:autoSpaceDE w:val="0"/>
              <w:autoSpaceDN w:val="0"/>
              <w:snapToGrid w:val="0"/>
              <w:spacing w:line="290" w:lineRule="atLeast"/>
              <w:rPr>
                <w:rFonts w:ascii="SimSun" w:eastAsia="SimSun" w:hAnsi="SimSun"/>
                <w:szCs w:val="21"/>
              </w:rPr>
            </w:pPr>
            <w:r w:rsidRPr="002F359D">
              <w:rPr>
                <w:rFonts w:ascii="SimSun" w:eastAsia="SimSun" w:hAnsi="SimSun" w:hint="eastAsia"/>
                <w:szCs w:val="21"/>
              </w:rPr>
              <w:t>（二）银行应履行“了解客户”、“了解业务”、“尽职审查”等展业原则，在为境内机构办理资本项目收入结汇和支付时承担真实性审核责任。在办理每一笔资金支付时，均应审核前一笔支付证明材料的真实性与合规性。银行应留存境内机构资本项目外汇收入结汇及使用的相关证明材料</w:t>
            </w:r>
            <w:r w:rsidRPr="002F359D">
              <w:rPr>
                <w:rFonts w:ascii="SimSun" w:eastAsia="SimSun" w:hAnsi="SimSun"/>
                <w:szCs w:val="21"/>
              </w:rPr>
              <w:t>5</w:t>
            </w:r>
            <w:r w:rsidRPr="002F359D">
              <w:rPr>
                <w:rFonts w:ascii="SimSun" w:eastAsia="SimSun" w:hAnsi="SimSun" w:hint="eastAsia"/>
                <w:szCs w:val="21"/>
              </w:rPr>
              <w:t>年备查。</w:t>
            </w:r>
          </w:p>
          <w:p w:rsidR="002F359D" w:rsidRPr="002F359D" w:rsidRDefault="002F359D" w:rsidP="002F359D">
            <w:pPr>
              <w:wordWrap w:val="0"/>
              <w:autoSpaceDE w:val="0"/>
              <w:autoSpaceDN w:val="0"/>
              <w:snapToGrid w:val="0"/>
              <w:spacing w:line="290" w:lineRule="atLeast"/>
              <w:rPr>
                <w:rFonts w:ascii="SimSun" w:eastAsia="SimSun" w:hAnsi="SimSun"/>
                <w:szCs w:val="21"/>
              </w:rPr>
            </w:pPr>
            <w:r w:rsidRPr="002F359D">
              <w:rPr>
                <w:rFonts w:ascii="SimSun" w:eastAsia="SimSun" w:hAnsi="SimSun" w:hint="eastAsia"/>
                <w:szCs w:val="21"/>
              </w:rPr>
              <w:t>银行应按照《国家外汇管理局关于发布</w:t>
            </w:r>
            <w:r w:rsidRPr="002F359D">
              <w:rPr>
                <w:rFonts w:ascii="SimSun" w:eastAsia="SimSun" w:hAnsi="SimSun"/>
                <w:szCs w:val="21"/>
              </w:rPr>
              <w:t>&lt;</w:t>
            </w:r>
            <w:r w:rsidRPr="002F359D">
              <w:rPr>
                <w:rFonts w:ascii="SimSun" w:eastAsia="SimSun" w:hAnsi="SimSun" w:hint="eastAsia"/>
                <w:szCs w:val="21"/>
              </w:rPr>
              <w:t>金融机构外汇业务数据采集规范（</w:t>
            </w:r>
            <w:r w:rsidRPr="002F359D">
              <w:rPr>
                <w:rFonts w:ascii="SimSun" w:eastAsia="SimSun" w:hAnsi="SimSun"/>
                <w:szCs w:val="21"/>
              </w:rPr>
              <w:t>1.0</w:t>
            </w:r>
            <w:r w:rsidRPr="002F359D">
              <w:rPr>
                <w:rFonts w:ascii="SimSun" w:eastAsia="SimSun" w:hAnsi="SimSun" w:hint="eastAsia"/>
                <w:szCs w:val="21"/>
              </w:rPr>
              <w:t>版）</w:t>
            </w:r>
            <w:r w:rsidRPr="002F359D">
              <w:rPr>
                <w:rFonts w:ascii="SimSun" w:eastAsia="SimSun" w:hAnsi="SimSun"/>
                <w:szCs w:val="21"/>
              </w:rPr>
              <w:t>&gt;</w:t>
            </w:r>
            <w:r w:rsidRPr="002F359D">
              <w:rPr>
                <w:rFonts w:ascii="SimSun" w:eastAsia="SimSun" w:hAnsi="SimSun" w:hint="eastAsia"/>
                <w:szCs w:val="21"/>
              </w:rPr>
              <w:t>的通知》（汇发〔</w:t>
            </w:r>
            <w:r w:rsidRPr="002F359D">
              <w:rPr>
                <w:rFonts w:ascii="SimSun" w:eastAsia="SimSun" w:hAnsi="SimSun"/>
                <w:szCs w:val="21"/>
              </w:rPr>
              <w:t>2014〕18</w:t>
            </w:r>
            <w:r w:rsidRPr="002F359D">
              <w:rPr>
                <w:rFonts w:ascii="SimSun" w:eastAsia="SimSun" w:hAnsi="SimSun" w:hint="eastAsia"/>
                <w:szCs w:val="21"/>
              </w:rPr>
              <w:t>号）的要求，及时报送与资本金账户、境内资产变现账户、境内再投资账户、外债专用账户、境外上市专用账户、其他类型的资本项目账户、结汇待支付账户（账户性质代码</w:t>
            </w:r>
            <w:r w:rsidRPr="002F359D">
              <w:rPr>
                <w:rFonts w:ascii="SimSun" w:eastAsia="SimSun" w:hAnsi="SimSun"/>
                <w:szCs w:val="21"/>
              </w:rPr>
              <w:t>2113）</w:t>
            </w:r>
            <w:r w:rsidRPr="002F359D">
              <w:rPr>
                <w:rFonts w:ascii="SimSun" w:eastAsia="SimSun" w:hAnsi="SimSun" w:hint="eastAsia"/>
                <w:szCs w:val="21"/>
              </w:rPr>
              <w:t>有关的账户、跨境收支、境内划转、账户内结售汇等信息。其中，结汇待支付账户与其他人民币账户之间的资金划转，应通过填写境内收付款凭证报送境内划转信息，并在“发票号”栏中填写资金用途代码（按照汇发〔</w:t>
            </w:r>
            <w:r w:rsidRPr="002F359D">
              <w:rPr>
                <w:rFonts w:ascii="SimSun" w:eastAsia="SimSun" w:hAnsi="SimSun"/>
                <w:szCs w:val="21"/>
              </w:rPr>
              <w:t>2014〕18</w:t>
            </w:r>
            <w:r w:rsidRPr="002F359D">
              <w:rPr>
                <w:rFonts w:ascii="SimSun" w:eastAsia="SimSun" w:hAnsi="SimSun" w:hint="eastAsia"/>
                <w:szCs w:val="21"/>
              </w:rPr>
              <w:t>号文件中“</w:t>
            </w:r>
            <w:r w:rsidRPr="002F359D">
              <w:rPr>
                <w:rFonts w:ascii="SimSun" w:eastAsia="SimSun" w:hAnsi="SimSun"/>
                <w:szCs w:val="21"/>
              </w:rPr>
              <w:t>7.10</w:t>
            </w:r>
            <w:r w:rsidRPr="002F359D">
              <w:rPr>
                <w:rFonts w:ascii="SimSun" w:eastAsia="SimSun" w:hAnsi="SimSun" w:hint="eastAsia"/>
                <w:szCs w:val="21"/>
              </w:rPr>
              <w:t>结汇用途代码”填写</w:t>
            </w:r>
            <w:r w:rsidRPr="002F359D">
              <w:rPr>
                <w:rFonts w:ascii="SimSun" w:eastAsia="SimSun" w:hAnsi="SimSun"/>
                <w:szCs w:val="21"/>
              </w:rPr>
              <w:t>）；</w:t>
            </w:r>
            <w:r w:rsidRPr="002F359D">
              <w:rPr>
                <w:rFonts w:ascii="SimSun" w:eastAsia="SimSun" w:hAnsi="SimSun" w:hint="eastAsia"/>
                <w:szCs w:val="21"/>
              </w:rPr>
              <w:t>除货物贸易核查项下的支付，其他划转的交易编码均填写为“</w:t>
            </w:r>
            <w:r w:rsidRPr="002F359D">
              <w:rPr>
                <w:rFonts w:ascii="SimSun" w:eastAsia="SimSun" w:hAnsi="SimSun"/>
                <w:szCs w:val="21"/>
              </w:rPr>
              <w:t>929070”。</w:t>
            </w:r>
          </w:p>
          <w:p w:rsidR="002F359D" w:rsidRPr="002F359D" w:rsidRDefault="002F359D" w:rsidP="002F359D">
            <w:pPr>
              <w:wordWrap w:val="0"/>
              <w:autoSpaceDE w:val="0"/>
              <w:autoSpaceDN w:val="0"/>
              <w:snapToGrid w:val="0"/>
              <w:spacing w:line="290" w:lineRule="atLeast"/>
              <w:rPr>
                <w:rFonts w:ascii="SimSun" w:eastAsia="SimSun" w:hAnsi="SimSun"/>
                <w:szCs w:val="21"/>
              </w:rPr>
            </w:pPr>
            <w:r w:rsidRPr="002F359D">
              <w:rPr>
                <w:rFonts w:ascii="SimSun" w:eastAsia="SimSun" w:hAnsi="SimSun" w:hint="eastAsia"/>
                <w:szCs w:val="21"/>
              </w:rPr>
              <w:t>（三）对于境内机构确有特殊原因暂时无法提供真实性证明材料的，银行可在履行尽职审查义务、确定交易具备真实交易背景的前提下为其办理相关支付，并应于办理业务当日通过外汇局相关业务系统向外汇局提交特殊事项备案。银行应在支付完毕后</w:t>
            </w:r>
            <w:r w:rsidRPr="002F359D">
              <w:rPr>
                <w:rFonts w:ascii="SimSun" w:eastAsia="SimSun" w:hAnsi="SimSun"/>
                <w:szCs w:val="21"/>
              </w:rPr>
              <w:t>20</w:t>
            </w:r>
            <w:r w:rsidRPr="002F359D">
              <w:rPr>
                <w:rFonts w:ascii="SimSun" w:eastAsia="SimSun" w:hAnsi="SimSun" w:hint="eastAsia"/>
                <w:szCs w:val="21"/>
              </w:rPr>
              <w:t>个工作日内收齐并审核境内机构补交的相关证明材料，并通过相关业务系统向外汇局报告特殊事项备案业务的真实性证明材料补交情况。</w:t>
            </w:r>
          </w:p>
          <w:p w:rsidR="002F359D" w:rsidRPr="002F359D" w:rsidRDefault="002F359D" w:rsidP="002F359D">
            <w:pPr>
              <w:wordWrap w:val="0"/>
              <w:autoSpaceDE w:val="0"/>
              <w:autoSpaceDN w:val="0"/>
              <w:snapToGrid w:val="0"/>
              <w:spacing w:line="290" w:lineRule="atLeast"/>
              <w:rPr>
                <w:rFonts w:ascii="SimSun" w:eastAsia="SimSun" w:hAnsi="SimSun"/>
                <w:szCs w:val="21"/>
              </w:rPr>
            </w:pPr>
            <w:r w:rsidRPr="002F359D">
              <w:rPr>
                <w:rFonts w:ascii="SimSun" w:eastAsia="SimSun" w:hAnsi="SimSun" w:hint="eastAsia"/>
                <w:szCs w:val="21"/>
              </w:rPr>
              <w:t>对于境内机构以备用金名义使用资本项目收入的，银行可不要求其提供上述真实性证明材料。单一机构每月备用金（含意愿结汇和支付结汇）支付累计金额不得超过等值</w:t>
            </w:r>
            <w:r w:rsidRPr="002F359D">
              <w:rPr>
                <w:rFonts w:ascii="SimSun" w:eastAsia="SimSun" w:hAnsi="SimSun"/>
                <w:szCs w:val="21"/>
              </w:rPr>
              <w:t>20</w:t>
            </w:r>
            <w:r w:rsidRPr="002F359D">
              <w:rPr>
                <w:rFonts w:ascii="SimSun" w:eastAsia="SimSun" w:hAnsi="SimSun" w:hint="eastAsia"/>
                <w:szCs w:val="21"/>
              </w:rPr>
              <w:t>万美元。</w:t>
            </w:r>
          </w:p>
          <w:p w:rsidR="002F359D" w:rsidRPr="002F359D" w:rsidRDefault="002F359D" w:rsidP="002F359D">
            <w:pPr>
              <w:wordWrap w:val="0"/>
              <w:autoSpaceDE w:val="0"/>
              <w:autoSpaceDN w:val="0"/>
              <w:snapToGrid w:val="0"/>
              <w:spacing w:line="290" w:lineRule="atLeast"/>
              <w:rPr>
                <w:rFonts w:ascii="SimSun" w:eastAsia="SimSun" w:hAnsi="SimSun"/>
                <w:szCs w:val="21"/>
              </w:rPr>
            </w:pPr>
            <w:r w:rsidRPr="002F359D">
              <w:rPr>
                <w:rFonts w:ascii="SimSun" w:eastAsia="SimSun" w:hAnsi="SimSun" w:hint="eastAsia"/>
                <w:szCs w:val="21"/>
              </w:rPr>
              <w:t>对于申请一次性将全部资本项目外汇收入支付结汇或将结汇待支付账户中全部人民币资金进行支付的境内机构，如不能提供相关真实性证明材料，银行不得</w:t>
            </w:r>
            <w:r w:rsidRPr="002F359D">
              <w:rPr>
                <w:rFonts w:ascii="SimSun" w:eastAsia="SimSun" w:hAnsi="SimSun" w:hint="eastAsia"/>
                <w:szCs w:val="21"/>
              </w:rPr>
              <w:lastRenderedPageBreak/>
              <w:t>为其办理结汇、支付。</w:t>
            </w:r>
          </w:p>
          <w:p w:rsidR="002F359D" w:rsidRPr="002F359D" w:rsidRDefault="002F359D" w:rsidP="002F359D">
            <w:pPr>
              <w:wordWrap w:val="0"/>
              <w:autoSpaceDE w:val="0"/>
              <w:autoSpaceDN w:val="0"/>
              <w:snapToGrid w:val="0"/>
              <w:spacing w:line="290" w:lineRule="atLeast"/>
              <w:rPr>
                <w:rFonts w:ascii="SimSun" w:eastAsia="SimSun" w:hAnsi="SimSun"/>
                <w:szCs w:val="21"/>
              </w:rPr>
            </w:pPr>
            <w:r w:rsidRPr="002F359D">
              <w:rPr>
                <w:rFonts w:ascii="SimSun" w:eastAsia="SimSun" w:hAnsi="SimSun" w:hint="eastAsia"/>
                <w:szCs w:val="21"/>
              </w:rPr>
              <w:t>六、进一步强化外汇局事后监管与违规查处</w:t>
            </w:r>
          </w:p>
          <w:p w:rsidR="002F359D" w:rsidRPr="002F359D" w:rsidRDefault="002F359D" w:rsidP="002F359D">
            <w:pPr>
              <w:wordWrap w:val="0"/>
              <w:autoSpaceDE w:val="0"/>
              <w:autoSpaceDN w:val="0"/>
              <w:snapToGrid w:val="0"/>
              <w:spacing w:line="290" w:lineRule="atLeast"/>
              <w:rPr>
                <w:rFonts w:ascii="SimSun" w:eastAsia="SimSun" w:hAnsi="SimSun"/>
                <w:szCs w:val="21"/>
              </w:rPr>
            </w:pPr>
            <w:r w:rsidRPr="002F359D">
              <w:rPr>
                <w:rFonts w:ascii="SimSun" w:eastAsia="SimSun" w:hAnsi="SimSun" w:hint="eastAsia"/>
                <w:szCs w:val="21"/>
              </w:rPr>
              <w:t>（一）</w:t>
            </w:r>
            <w:r w:rsidRPr="002F359D">
              <w:rPr>
                <w:rFonts w:ascii="SimSun" w:eastAsia="SimSun" w:hAnsi="SimSun" w:hint="eastAsia"/>
                <w:spacing w:val="-4"/>
                <w:szCs w:val="21"/>
              </w:rPr>
              <w:t>外汇局应根据《中华人民共和国外汇管理条例》（国务院令第</w:t>
            </w:r>
            <w:r w:rsidRPr="002F359D">
              <w:rPr>
                <w:rFonts w:ascii="SimSun" w:eastAsia="SimSun" w:hAnsi="SimSun"/>
                <w:spacing w:val="-4"/>
                <w:szCs w:val="21"/>
              </w:rPr>
              <w:t>532</w:t>
            </w:r>
            <w:r w:rsidRPr="002F359D">
              <w:rPr>
                <w:rFonts w:ascii="SimSun" w:eastAsia="SimSun" w:hAnsi="SimSun" w:hint="eastAsia"/>
                <w:spacing w:val="-4"/>
                <w:szCs w:val="21"/>
              </w:rPr>
              <w:t>号）、《国家外汇管理局关于发布</w:t>
            </w:r>
            <w:r w:rsidRPr="002F359D">
              <w:rPr>
                <w:rFonts w:ascii="SimSun" w:eastAsia="SimSun" w:hAnsi="SimSun"/>
                <w:spacing w:val="-4"/>
                <w:szCs w:val="21"/>
              </w:rPr>
              <w:t>&lt;</w:t>
            </w:r>
            <w:r w:rsidRPr="002F359D">
              <w:rPr>
                <w:rFonts w:ascii="SimSun" w:eastAsia="SimSun" w:hAnsi="SimSun" w:hint="eastAsia"/>
                <w:spacing w:val="-4"/>
                <w:szCs w:val="21"/>
              </w:rPr>
              <w:t>外债登记管理办法</w:t>
            </w:r>
            <w:r w:rsidRPr="002F359D">
              <w:rPr>
                <w:rFonts w:ascii="SimSun" w:eastAsia="SimSun" w:hAnsi="SimSun"/>
                <w:spacing w:val="-4"/>
                <w:szCs w:val="21"/>
              </w:rPr>
              <w:t>&gt;</w:t>
            </w:r>
            <w:r w:rsidRPr="002F359D">
              <w:rPr>
                <w:rFonts w:ascii="SimSun" w:eastAsia="SimSun" w:hAnsi="SimSun" w:hint="eastAsia"/>
                <w:spacing w:val="-4"/>
                <w:szCs w:val="21"/>
              </w:rPr>
              <w:t>的通知》（汇发〔</w:t>
            </w:r>
            <w:r w:rsidRPr="002F359D">
              <w:rPr>
                <w:rFonts w:ascii="SimSun" w:eastAsia="SimSun" w:hAnsi="SimSun"/>
                <w:spacing w:val="-4"/>
                <w:szCs w:val="21"/>
              </w:rPr>
              <w:t>2013〕19</w:t>
            </w:r>
            <w:r w:rsidRPr="002F359D">
              <w:rPr>
                <w:rFonts w:ascii="SimSun" w:eastAsia="SimSun" w:hAnsi="SimSun" w:hint="eastAsia"/>
                <w:spacing w:val="-4"/>
                <w:szCs w:val="21"/>
              </w:rPr>
              <w:t>号）、《国家外汇管理局关于印发</w:t>
            </w:r>
            <w:r w:rsidRPr="002F359D">
              <w:rPr>
                <w:rFonts w:ascii="SimSun" w:eastAsia="SimSun" w:hAnsi="SimSun"/>
                <w:spacing w:val="-4"/>
                <w:szCs w:val="21"/>
              </w:rPr>
              <w:t>&lt;</w:t>
            </w:r>
            <w:r w:rsidRPr="002F359D">
              <w:rPr>
                <w:rFonts w:ascii="SimSun" w:eastAsia="SimSun" w:hAnsi="SimSun" w:hint="eastAsia"/>
                <w:spacing w:val="-4"/>
                <w:szCs w:val="21"/>
              </w:rPr>
              <w:t>外国投资者境内直接投资外汇管理规定</w:t>
            </w:r>
            <w:r w:rsidRPr="002F359D">
              <w:rPr>
                <w:rFonts w:ascii="SimSun" w:eastAsia="SimSun" w:hAnsi="SimSun"/>
                <w:spacing w:val="-4"/>
                <w:szCs w:val="21"/>
              </w:rPr>
              <w:t>&gt;</w:t>
            </w:r>
            <w:r w:rsidRPr="002F359D">
              <w:rPr>
                <w:rFonts w:ascii="SimSun" w:eastAsia="SimSun" w:hAnsi="SimSun" w:hint="eastAsia"/>
                <w:spacing w:val="-4"/>
                <w:szCs w:val="21"/>
              </w:rPr>
              <w:t>及配套文件的通知》（汇发〔</w:t>
            </w:r>
            <w:r w:rsidRPr="002F359D">
              <w:rPr>
                <w:rFonts w:ascii="SimSun" w:eastAsia="SimSun" w:hAnsi="SimSun"/>
                <w:spacing w:val="-4"/>
                <w:szCs w:val="21"/>
              </w:rPr>
              <w:t>2013〕21</w:t>
            </w:r>
            <w:r w:rsidRPr="002F359D">
              <w:rPr>
                <w:rFonts w:ascii="SimSun" w:eastAsia="SimSun" w:hAnsi="SimSun" w:hint="eastAsia"/>
                <w:spacing w:val="-4"/>
                <w:szCs w:val="21"/>
              </w:rPr>
              <w:t>号）、《国家外汇管理局关于境外上市外汇管理有关问题的通知》（汇发〔</w:t>
            </w:r>
            <w:r w:rsidRPr="002F359D">
              <w:rPr>
                <w:rFonts w:ascii="SimSun" w:eastAsia="SimSun" w:hAnsi="SimSun"/>
                <w:spacing w:val="-4"/>
                <w:szCs w:val="21"/>
              </w:rPr>
              <w:t>2014〕54</w:t>
            </w:r>
            <w:r w:rsidRPr="002F359D">
              <w:rPr>
                <w:rFonts w:ascii="SimSun" w:eastAsia="SimSun" w:hAnsi="SimSun" w:hint="eastAsia"/>
                <w:spacing w:val="-4"/>
                <w:szCs w:val="21"/>
              </w:rPr>
              <w:t>号）等有关规定加强对银行办理境内机构资本项目收入结汇和支付使用等业务合规性的指导和核查。核查的方式包括要求相关业务主体提供书面说明和业务材料、约谈负责人、现场查阅或复制业务主体相关资料、通报违规情况等。</w:t>
            </w:r>
          </w:p>
          <w:p w:rsidR="002F359D" w:rsidRPr="002F359D" w:rsidRDefault="002F359D" w:rsidP="002F359D">
            <w:pPr>
              <w:wordWrap w:val="0"/>
              <w:autoSpaceDE w:val="0"/>
              <w:autoSpaceDN w:val="0"/>
              <w:snapToGrid w:val="0"/>
              <w:spacing w:line="290" w:lineRule="atLeast"/>
              <w:rPr>
                <w:rFonts w:ascii="SimSun" w:eastAsia="SimSun" w:hAnsi="SimSun"/>
                <w:spacing w:val="14"/>
                <w:szCs w:val="21"/>
              </w:rPr>
            </w:pPr>
            <w:r w:rsidRPr="002F359D">
              <w:rPr>
                <w:rFonts w:ascii="SimSun" w:eastAsia="SimSun" w:hAnsi="SimSun" w:hint="eastAsia"/>
                <w:szCs w:val="21"/>
              </w:rPr>
              <w:t>（二）</w:t>
            </w:r>
            <w:r w:rsidRPr="002F359D">
              <w:rPr>
                <w:rFonts w:ascii="SimSun" w:eastAsia="SimSun" w:hAnsi="SimSun" w:hint="eastAsia"/>
                <w:spacing w:val="14"/>
                <w:szCs w:val="21"/>
              </w:rPr>
              <w:t>对于违反本通知办理资本项目收入结汇和支付使用等业务的境内机构和银行，外汇局依据《中华人民共和国外汇管理条例》及有关规定予以查处。对于严重、恶意违规的银行可依法暂停其资本项下结售汇业务办理。对于严重、恶意违规的境内机构可依法暂停其办理意愿结汇资格或在外汇局资本项目信息系统中对其进行业务管控，且在其提交书面说明函并进行相应整改前，不得为其办理其他资本项下业务或取消业务管控。</w:t>
            </w:r>
          </w:p>
          <w:p w:rsidR="002F359D" w:rsidRPr="002F359D" w:rsidRDefault="002F359D" w:rsidP="002F359D">
            <w:pPr>
              <w:wordWrap w:val="0"/>
              <w:autoSpaceDE w:val="0"/>
              <w:autoSpaceDN w:val="0"/>
              <w:snapToGrid w:val="0"/>
              <w:spacing w:line="290" w:lineRule="atLeast"/>
              <w:rPr>
                <w:rFonts w:ascii="SimSun" w:eastAsia="SimSun" w:hAnsi="SimSun"/>
                <w:szCs w:val="21"/>
              </w:rPr>
            </w:pPr>
            <w:r w:rsidRPr="002F359D">
              <w:rPr>
                <w:rFonts w:ascii="SimSun" w:eastAsia="SimSun" w:hAnsi="SimSun" w:hint="eastAsia"/>
                <w:szCs w:val="21"/>
              </w:rPr>
              <w:t>本通知自发布之日起实施。《国家外汇管理局关于发布</w:t>
            </w:r>
            <w:r w:rsidRPr="002F359D">
              <w:rPr>
                <w:rFonts w:ascii="SimSun" w:eastAsia="SimSun" w:hAnsi="SimSun"/>
                <w:szCs w:val="21"/>
              </w:rPr>
              <w:t>&lt;</w:t>
            </w:r>
            <w:r w:rsidRPr="002F359D">
              <w:rPr>
                <w:rFonts w:ascii="SimSun" w:eastAsia="SimSun" w:hAnsi="SimSun" w:hint="eastAsia"/>
                <w:szCs w:val="21"/>
              </w:rPr>
              <w:t>外债登记管理办法</w:t>
            </w:r>
            <w:r w:rsidRPr="002F359D">
              <w:rPr>
                <w:rFonts w:ascii="SimSun" w:eastAsia="SimSun" w:hAnsi="SimSun"/>
                <w:szCs w:val="21"/>
              </w:rPr>
              <w:t>&gt;</w:t>
            </w:r>
            <w:r w:rsidRPr="002F359D">
              <w:rPr>
                <w:rFonts w:ascii="SimSun" w:eastAsia="SimSun" w:hAnsi="SimSun" w:hint="eastAsia"/>
                <w:szCs w:val="21"/>
              </w:rPr>
              <w:t>的通知》（汇发〔</w:t>
            </w:r>
            <w:r w:rsidRPr="002F359D">
              <w:rPr>
                <w:rFonts w:ascii="SimSun" w:eastAsia="SimSun" w:hAnsi="SimSun"/>
                <w:szCs w:val="21"/>
              </w:rPr>
              <w:t>2013〕19</w:t>
            </w:r>
            <w:r w:rsidRPr="002F359D">
              <w:rPr>
                <w:rFonts w:ascii="SimSun" w:eastAsia="SimSun" w:hAnsi="SimSun" w:hint="eastAsia"/>
                <w:szCs w:val="21"/>
              </w:rPr>
              <w:t>号）、《国家外汇管理局关于境外上市外汇管理有关问题的通知》（汇发〔</w:t>
            </w:r>
            <w:r w:rsidRPr="002F359D">
              <w:rPr>
                <w:rFonts w:ascii="SimSun" w:eastAsia="SimSun" w:hAnsi="SimSun"/>
                <w:szCs w:val="21"/>
              </w:rPr>
              <w:t>2014〕54</w:t>
            </w:r>
            <w:r w:rsidRPr="002F359D">
              <w:rPr>
                <w:rFonts w:ascii="SimSun" w:eastAsia="SimSun" w:hAnsi="SimSun" w:hint="eastAsia"/>
                <w:szCs w:val="21"/>
              </w:rPr>
              <w:t>号）、《国家外汇管理局关于改革外商投资企业外汇资本金结汇管理方式的通知》（汇发〔</w:t>
            </w:r>
            <w:r w:rsidRPr="002F359D">
              <w:rPr>
                <w:rFonts w:ascii="SimSun" w:eastAsia="SimSun" w:hAnsi="SimSun"/>
                <w:szCs w:val="21"/>
              </w:rPr>
              <w:t>2015〕19</w:t>
            </w:r>
            <w:r w:rsidRPr="002F359D">
              <w:rPr>
                <w:rFonts w:ascii="SimSun" w:eastAsia="SimSun" w:hAnsi="SimSun" w:hint="eastAsia"/>
                <w:szCs w:val="21"/>
              </w:rPr>
              <w:t>号）、《国家外汇管理局关于印发</w:t>
            </w:r>
            <w:r w:rsidRPr="002F359D">
              <w:rPr>
                <w:rFonts w:ascii="SimSun" w:eastAsia="SimSun" w:hAnsi="SimSun"/>
                <w:szCs w:val="21"/>
              </w:rPr>
              <w:t>&lt;</w:t>
            </w:r>
            <w:r w:rsidRPr="002F359D">
              <w:rPr>
                <w:rFonts w:ascii="SimSun" w:eastAsia="SimSun" w:hAnsi="SimSun" w:hint="eastAsia"/>
                <w:szCs w:val="21"/>
              </w:rPr>
              <w:t>跨国公司外汇资金集中运营管理规定</w:t>
            </w:r>
            <w:r w:rsidRPr="002F359D">
              <w:rPr>
                <w:rFonts w:ascii="SimSun" w:eastAsia="SimSun" w:hAnsi="SimSun"/>
                <w:szCs w:val="21"/>
              </w:rPr>
              <w:t>&gt;</w:t>
            </w:r>
            <w:r w:rsidRPr="002F359D">
              <w:rPr>
                <w:rFonts w:ascii="SimSun" w:eastAsia="SimSun" w:hAnsi="SimSun" w:hint="eastAsia"/>
                <w:szCs w:val="21"/>
              </w:rPr>
              <w:t>的通知》（汇发〔</w:t>
            </w:r>
            <w:r w:rsidRPr="002F359D">
              <w:rPr>
                <w:rFonts w:ascii="SimSun" w:eastAsia="SimSun" w:hAnsi="SimSun"/>
                <w:szCs w:val="21"/>
              </w:rPr>
              <w:t>2015〕36</w:t>
            </w:r>
            <w:r w:rsidRPr="002F359D">
              <w:rPr>
                <w:rFonts w:ascii="SimSun" w:eastAsia="SimSun" w:hAnsi="SimSun" w:hint="eastAsia"/>
                <w:szCs w:val="21"/>
              </w:rPr>
              <w:t>号）等此前规定与本通知内容不一致的，以本通知为准。</w:t>
            </w:r>
          </w:p>
          <w:p w:rsidR="002F359D" w:rsidRPr="002F359D" w:rsidRDefault="002F359D" w:rsidP="002F359D">
            <w:pPr>
              <w:wordWrap w:val="0"/>
              <w:autoSpaceDE w:val="0"/>
              <w:autoSpaceDN w:val="0"/>
              <w:snapToGrid w:val="0"/>
              <w:spacing w:line="290" w:lineRule="atLeast"/>
              <w:rPr>
                <w:rFonts w:ascii="SimSun" w:eastAsia="SimSun" w:hAnsi="SimSun"/>
                <w:szCs w:val="21"/>
              </w:rPr>
            </w:pPr>
            <w:r w:rsidRPr="002F359D">
              <w:rPr>
                <w:rFonts w:ascii="SimSun" w:eastAsia="SimSun" w:hAnsi="SimSun" w:hint="eastAsia"/>
                <w:szCs w:val="21"/>
              </w:rPr>
              <w:t>国家外汇管理局各分局、外汇管理部接到本通知后，应及时转发辖内中心支局、支局、城市商业银行及外资银行。</w:t>
            </w:r>
            <w:r w:rsidRPr="002F359D">
              <w:rPr>
                <w:rFonts w:ascii="SimSun" w:eastAsia="SimSun" w:hAnsi="SimSun" w:hint="eastAsia"/>
                <w:szCs w:val="21"/>
              </w:rPr>
              <w:lastRenderedPageBreak/>
              <w:t>各中资外汇指定银行收到本通知后，应尽快转发所辖分支行。执行中如遇问题，请及时向国家外汇管理局资本项目管理司反映。</w:t>
            </w:r>
          </w:p>
          <w:p w:rsidR="002F359D" w:rsidRPr="002F359D" w:rsidRDefault="002F359D" w:rsidP="002F359D">
            <w:pPr>
              <w:wordWrap w:val="0"/>
              <w:autoSpaceDE w:val="0"/>
              <w:autoSpaceDN w:val="0"/>
              <w:snapToGrid w:val="0"/>
              <w:spacing w:line="290" w:lineRule="atLeast"/>
              <w:rPr>
                <w:rFonts w:ascii="SimSun" w:eastAsia="SimSun" w:hAnsi="SimSun"/>
                <w:szCs w:val="21"/>
              </w:rPr>
            </w:pPr>
          </w:p>
          <w:p w:rsidR="002F359D" w:rsidRPr="002F359D" w:rsidRDefault="002F359D" w:rsidP="002F359D">
            <w:pPr>
              <w:wordWrap w:val="0"/>
              <w:autoSpaceDE w:val="0"/>
              <w:autoSpaceDN w:val="0"/>
              <w:snapToGrid w:val="0"/>
              <w:spacing w:line="290" w:lineRule="atLeast"/>
              <w:rPr>
                <w:rFonts w:ascii="SimSun" w:eastAsia="SimSun" w:hAnsi="SimSun"/>
                <w:szCs w:val="21"/>
              </w:rPr>
            </w:pPr>
            <w:r w:rsidRPr="002F359D">
              <w:rPr>
                <w:rFonts w:ascii="SimSun" w:eastAsia="SimSun" w:hAnsi="SimSun" w:hint="eastAsia"/>
                <w:szCs w:val="21"/>
              </w:rPr>
              <w:t>附件</w:t>
            </w:r>
            <w:r w:rsidRPr="002F359D">
              <w:rPr>
                <w:rFonts w:ascii="SimSun" w:eastAsia="SimSun" w:hAnsi="SimSun"/>
                <w:szCs w:val="21"/>
              </w:rPr>
              <w:t xml:space="preserve">: </w:t>
            </w:r>
            <w:r w:rsidRPr="002F359D">
              <w:rPr>
                <w:rFonts w:ascii="SimSun" w:eastAsia="SimSun" w:hAnsi="SimSun" w:hint="eastAsia"/>
                <w:szCs w:val="21"/>
              </w:rPr>
              <w:t>资本项目账户资金支付命令函（略）</w:t>
            </w:r>
          </w:p>
          <w:p w:rsidR="002F359D" w:rsidRPr="002F359D" w:rsidRDefault="002F359D" w:rsidP="002F359D">
            <w:pPr>
              <w:wordWrap w:val="0"/>
              <w:autoSpaceDE w:val="0"/>
              <w:autoSpaceDN w:val="0"/>
              <w:snapToGrid w:val="0"/>
              <w:spacing w:line="290" w:lineRule="atLeast"/>
              <w:rPr>
                <w:rFonts w:ascii="SimSun" w:eastAsia="SimSun" w:hAnsi="SimSun"/>
                <w:szCs w:val="21"/>
              </w:rPr>
            </w:pPr>
          </w:p>
          <w:p w:rsidR="002F359D" w:rsidRPr="002F359D" w:rsidRDefault="002F359D" w:rsidP="002F359D">
            <w:pPr>
              <w:wordWrap w:val="0"/>
              <w:autoSpaceDE w:val="0"/>
              <w:autoSpaceDN w:val="0"/>
              <w:snapToGrid w:val="0"/>
              <w:spacing w:line="290" w:lineRule="atLeast"/>
              <w:rPr>
                <w:rFonts w:ascii="SimSun" w:eastAsia="SimSun" w:hAnsi="SimSun"/>
                <w:szCs w:val="21"/>
              </w:rPr>
            </w:pPr>
            <w:r w:rsidRPr="002F359D">
              <w:rPr>
                <w:rFonts w:ascii="SimSun" w:eastAsia="SimSun" w:hAnsi="SimSun" w:hint="eastAsia"/>
                <w:szCs w:val="21"/>
              </w:rPr>
              <w:t>国家外汇管理局</w:t>
            </w:r>
          </w:p>
          <w:p w:rsidR="002F359D" w:rsidRPr="002F359D" w:rsidRDefault="002F359D" w:rsidP="002F359D">
            <w:pPr>
              <w:wordWrap w:val="0"/>
              <w:autoSpaceDE w:val="0"/>
              <w:autoSpaceDN w:val="0"/>
              <w:snapToGrid w:val="0"/>
              <w:spacing w:line="290" w:lineRule="atLeast"/>
              <w:rPr>
                <w:rFonts w:ascii="SimSun" w:eastAsia="SimSun" w:hAnsi="SimSun"/>
                <w:szCs w:val="21"/>
              </w:rPr>
            </w:pPr>
            <w:r w:rsidRPr="002F359D">
              <w:rPr>
                <w:rFonts w:ascii="SimSun" w:eastAsia="SimSun" w:hAnsi="SimSun"/>
                <w:szCs w:val="21"/>
              </w:rPr>
              <w:t>2016</w:t>
            </w:r>
            <w:r w:rsidRPr="002F359D">
              <w:rPr>
                <w:rFonts w:ascii="SimSun" w:eastAsia="SimSun" w:hAnsi="SimSun" w:hint="eastAsia"/>
                <w:szCs w:val="21"/>
              </w:rPr>
              <w:t>年</w:t>
            </w:r>
            <w:r w:rsidRPr="002F359D">
              <w:rPr>
                <w:rFonts w:ascii="SimSun" w:eastAsia="SimSun" w:hAnsi="SimSun"/>
                <w:szCs w:val="21"/>
              </w:rPr>
              <w:t>6</w:t>
            </w:r>
            <w:r w:rsidRPr="002F359D">
              <w:rPr>
                <w:rFonts w:ascii="SimSun" w:eastAsia="SimSun" w:hAnsi="SimSun" w:hint="eastAsia"/>
                <w:szCs w:val="21"/>
              </w:rPr>
              <w:t>月</w:t>
            </w:r>
            <w:r w:rsidRPr="002F359D">
              <w:rPr>
                <w:rFonts w:ascii="SimSun" w:eastAsia="SimSun" w:hAnsi="SimSun"/>
                <w:szCs w:val="21"/>
              </w:rPr>
              <w:t>9</w:t>
            </w:r>
            <w:r w:rsidRPr="002F359D">
              <w:rPr>
                <w:rFonts w:ascii="SimSun" w:eastAsia="SimSun" w:hAnsi="SimSun" w:hint="eastAsia"/>
                <w:szCs w:val="21"/>
              </w:rPr>
              <w:t>日</w:t>
            </w:r>
            <w:r w:rsidRPr="002F359D">
              <w:rPr>
                <w:rFonts w:ascii="SimSun" w:eastAsia="SimSun" w:hAnsi="SimSun"/>
                <w:szCs w:val="21"/>
              </w:rPr>
              <w:t xml:space="preserve">  </w:t>
            </w:r>
          </w:p>
          <w:p w:rsidR="002F359D" w:rsidRPr="002F359D" w:rsidRDefault="002F359D" w:rsidP="002F359D">
            <w:pPr>
              <w:wordWrap w:val="0"/>
              <w:autoSpaceDE w:val="0"/>
              <w:autoSpaceDN w:val="0"/>
              <w:snapToGrid w:val="0"/>
              <w:spacing w:line="290" w:lineRule="atLeast"/>
              <w:rPr>
                <w:rFonts w:ascii="SimSun" w:eastAsia="SimSun" w:hAnsi="SimSun"/>
                <w:szCs w:val="21"/>
              </w:rPr>
            </w:pPr>
            <w:r w:rsidRPr="002F359D">
              <w:rPr>
                <w:rFonts w:ascii="SimSun" w:eastAsia="SimSun" w:hAnsi="SimSun"/>
                <w:szCs w:val="21"/>
              </w:rPr>
              <w:t xml:space="preserve">  </w:t>
            </w:r>
          </w:p>
          <w:p w:rsidR="00F6633C" w:rsidRPr="002F359D" w:rsidRDefault="00F6633C" w:rsidP="00F6633C">
            <w:pPr>
              <w:wordWrap w:val="0"/>
              <w:autoSpaceDE w:val="0"/>
              <w:autoSpaceDN w:val="0"/>
              <w:snapToGrid w:val="0"/>
              <w:spacing w:line="290" w:lineRule="atLeast"/>
              <w:rPr>
                <w:rFonts w:ascii="SimSun" w:eastAsia="SimSun" w:hAnsi="SimSun"/>
                <w:szCs w:val="21"/>
              </w:rPr>
            </w:pP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A5D" w:rsidRDefault="000C0A5D" w:rsidP="00C278F4">
      <w:r>
        <w:separator/>
      </w:r>
    </w:p>
  </w:endnote>
  <w:endnote w:type="continuationSeparator" w:id="1">
    <w:p w:rsidR="000C0A5D" w:rsidRDefault="000C0A5D"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A5D" w:rsidRDefault="000C0A5D" w:rsidP="00C278F4">
      <w:r>
        <w:separator/>
      </w:r>
    </w:p>
  </w:footnote>
  <w:footnote w:type="continuationSeparator" w:id="1">
    <w:p w:rsidR="000C0A5D" w:rsidRDefault="000C0A5D"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7355AD3"/>
    <w:multiLevelType w:val="hybridMultilevel"/>
    <w:tmpl w:val="6ADE1DD2"/>
    <w:lvl w:ilvl="0" w:tplc="CE120796">
      <w:start w:val="1"/>
      <w:numFmt w:val="japaneseCounting"/>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2">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5">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7">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4"/>
  </w:num>
  <w:num w:numId="2">
    <w:abstractNumId w:val="11"/>
  </w:num>
  <w:num w:numId="3">
    <w:abstractNumId w:val="2"/>
  </w:num>
  <w:num w:numId="4">
    <w:abstractNumId w:val="5"/>
  </w:num>
  <w:num w:numId="5">
    <w:abstractNumId w:val="16"/>
  </w:num>
  <w:num w:numId="6">
    <w:abstractNumId w:val="17"/>
  </w:num>
  <w:num w:numId="7">
    <w:abstractNumId w:val="10"/>
  </w:num>
  <w:num w:numId="8">
    <w:abstractNumId w:val="0"/>
  </w:num>
  <w:num w:numId="9">
    <w:abstractNumId w:val="9"/>
  </w:num>
  <w:num w:numId="10">
    <w:abstractNumId w:val="6"/>
  </w:num>
  <w:num w:numId="11">
    <w:abstractNumId w:val="13"/>
  </w:num>
  <w:num w:numId="12">
    <w:abstractNumId w:val="18"/>
  </w:num>
  <w:num w:numId="13">
    <w:abstractNumId w:val="12"/>
  </w:num>
  <w:num w:numId="14">
    <w:abstractNumId w:val="7"/>
  </w:num>
  <w:num w:numId="15">
    <w:abstractNumId w:val="3"/>
  </w:num>
  <w:num w:numId="16">
    <w:abstractNumId w:val="15"/>
  </w:num>
  <w:num w:numId="17">
    <w:abstractNumId w:val="1"/>
  </w:num>
  <w:num w:numId="18">
    <w:abstractNumId w:val="4"/>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C0A5D"/>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2F359D"/>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E7B09"/>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6</Pages>
  <Words>1385</Words>
  <Characters>7895</Characters>
  <Application>Microsoft Office Word</Application>
  <DocSecurity>0</DocSecurity>
  <Lines>65</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2016-07-13T01:21:00Z</dcterms:modified>
</cp:coreProperties>
</file>