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EF40DF" w:rsidRPr="00EF40DF" w:rsidRDefault="00EF40DF" w:rsidP="00EF40DF">
            <w:pPr>
              <w:widowControl/>
              <w:snapToGrid w:val="0"/>
              <w:spacing w:line="360" w:lineRule="auto"/>
              <w:jc w:val="center"/>
              <w:rPr>
                <w:rFonts w:ascii="한컴바탕" w:eastAsia="한컴바탕" w:hAnsi="한컴바탕" w:cs="한컴바탕"/>
                <w:b/>
                <w:bCs/>
                <w:color w:val="2F2F2F"/>
                <w:kern w:val="0"/>
                <w:sz w:val="26"/>
                <w:szCs w:val="26"/>
                <w:lang w:eastAsia="ko-KR"/>
              </w:rPr>
            </w:pPr>
            <w:bookmarkStart w:id="0" w:name="_GoBack"/>
            <w:bookmarkEnd w:id="0"/>
            <w:r w:rsidRPr="00EF40DF">
              <w:rPr>
                <w:rFonts w:ascii="한컴바탕" w:eastAsia="한컴바탕" w:hAnsi="한컴바탕" w:cs="한컴바탕" w:hint="eastAsia"/>
                <w:b/>
                <w:bCs/>
                <w:color w:val="2F2F2F"/>
                <w:kern w:val="0"/>
                <w:sz w:val="26"/>
                <w:szCs w:val="26"/>
                <w:lang w:eastAsia="ko-KR"/>
              </w:rPr>
              <w:t>최고인민법원의</w:t>
            </w:r>
          </w:p>
          <w:p w:rsidR="00EF40DF" w:rsidRPr="00EF40DF" w:rsidRDefault="00EF40DF" w:rsidP="00EF40DF">
            <w:pPr>
              <w:widowControl/>
              <w:snapToGrid w:val="0"/>
              <w:spacing w:line="360" w:lineRule="auto"/>
              <w:jc w:val="center"/>
              <w:rPr>
                <w:rFonts w:ascii="한컴바탕" w:eastAsia="한컴바탕" w:hAnsi="한컴바탕" w:cs="한컴바탕"/>
                <w:b/>
                <w:bCs/>
                <w:color w:val="2F2F2F"/>
                <w:kern w:val="0"/>
                <w:sz w:val="26"/>
                <w:szCs w:val="26"/>
                <w:lang w:eastAsia="ko-KR"/>
              </w:rPr>
            </w:pPr>
            <w:r w:rsidRPr="00EF40DF">
              <w:rPr>
                <w:rFonts w:ascii="한컴바탕" w:eastAsia="한컴바탕" w:hAnsi="한컴바탕" w:cs="한컴바탕" w:hint="eastAsia"/>
                <w:b/>
                <w:bCs/>
                <w:color w:val="2F2F2F"/>
                <w:kern w:val="0"/>
                <w:sz w:val="26"/>
                <w:szCs w:val="26"/>
                <w:lang w:eastAsia="ko-KR"/>
              </w:rPr>
              <w:t xml:space="preserve">&lt;중화인민공화국 </w:t>
            </w:r>
            <w:proofErr w:type="spellStart"/>
            <w:r w:rsidRPr="00EF40DF">
              <w:rPr>
                <w:rFonts w:ascii="한컴바탕" w:eastAsia="한컴바탕" w:hAnsi="한컴바탕" w:cs="한컴바탕" w:hint="eastAsia"/>
                <w:b/>
                <w:bCs/>
                <w:color w:val="2F2F2F"/>
                <w:kern w:val="0"/>
                <w:sz w:val="26"/>
                <w:szCs w:val="26"/>
                <w:lang w:eastAsia="ko-KR"/>
              </w:rPr>
              <w:t>외상투자법</w:t>
            </w:r>
            <w:proofErr w:type="spellEnd"/>
            <w:r w:rsidRPr="00EF40DF">
              <w:rPr>
                <w:rFonts w:ascii="한컴바탕" w:eastAsia="한컴바탕" w:hAnsi="한컴바탕" w:cs="한컴바탕"/>
                <w:b/>
                <w:bCs/>
                <w:color w:val="2F2F2F"/>
                <w:kern w:val="0"/>
                <w:sz w:val="26"/>
                <w:szCs w:val="26"/>
                <w:lang w:eastAsia="ko-KR"/>
              </w:rPr>
              <w:t xml:space="preserve">&gt; </w:t>
            </w:r>
            <w:r w:rsidRPr="00EF40DF">
              <w:rPr>
                <w:rFonts w:ascii="한컴바탕" w:eastAsia="한컴바탕" w:hAnsi="한컴바탕" w:cs="한컴바탕" w:hint="eastAsia"/>
                <w:b/>
                <w:bCs/>
                <w:color w:val="2F2F2F"/>
                <w:kern w:val="0"/>
                <w:sz w:val="26"/>
                <w:szCs w:val="26"/>
                <w:lang w:eastAsia="ko-KR"/>
              </w:rPr>
              <w:t>적용 문제에 관한 해석</w:t>
            </w:r>
          </w:p>
          <w:p w:rsidR="00EF40DF" w:rsidRPr="00EF40DF" w:rsidRDefault="00EF40DF" w:rsidP="00EF40DF">
            <w:pPr>
              <w:widowControl/>
              <w:snapToGrid w:val="0"/>
              <w:spacing w:line="360" w:lineRule="auto"/>
              <w:jc w:val="center"/>
              <w:rPr>
                <w:rFonts w:ascii="한컴바탕" w:eastAsia="한컴바탕" w:hAnsi="한컴바탕" w:cs="한컴바탕"/>
                <w:color w:val="2F2F2F"/>
                <w:kern w:val="0"/>
                <w:szCs w:val="21"/>
                <w:lang w:eastAsia="ko-KR"/>
              </w:rPr>
            </w:pPr>
            <w:r w:rsidRPr="00EF40DF">
              <w:rPr>
                <w:rFonts w:ascii="한컴바탕" w:eastAsia="한컴바탕" w:hAnsi="한컴바탕" w:cs="한컴바탕" w:hint="eastAsia"/>
                <w:color w:val="2F2F2F"/>
                <w:kern w:val="0"/>
                <w:szCs w:val="21"/>
                <w:lang w:eastAsia="ko-KR"/>
              </w:rPr>
              <w:t>법석[</w:t>
            </w:r>
            <w:r w:rsidRPr="00EF40DF">
              <w:rPr>
                <w:rFonts w:ascii="한컴바탕" w:eastAsia="한컴바탕" w:hAnsi="한컴바탕" w:cs="한컴바탕"/>
                <w:color w:val="2F2F2F"/>
                <w:kern w:val="0"/>
                <w:szCs w:val="21"/>
                <w:lang w:eastAsia="ko-KR"/>
              </w:rPr>
              <w:t>2019]20</w:t>
            </w:r>
            <w:r w:rsidRPr="00EF40DF">
              <w:rPr>
                <w:rFonts w:ascii="한컴바탕" w:eastAsia="한컴바탕" w:hAnsi="한컴바탕" w:cs="한컴바탕" w:hint="eastAsia"/>
                <w:color w:val="2F2F2F"/>
                <w:kern w:val="0"/>
                <w:szCs w:val="21"/>
                <w:lang w:eastAsia="ko-KR"/>
              </w:rPr>
              <w:t>호</w:t>
            </w:r>
          </w:p>
          <w:p w:rsidR="00EF40DF" w:rsidRPr="00EF40DF" w:rsidRDefault="00EF40DF" w:rsidP="00EF40DF">
            <w:pPr>
              <w:widowControl/>
              <w:wordWrap w:val="0"/>
              <w:topLinePunct/>
              <w:snapToGrid w:val="0"/>
              <w:spacing w:line="360" w:lineRule="auto"/>
              <w:jc w:val="left"/>
              <w:rPr>
                <w:rFonts w:ascii="한컴바탕" w:eastAsia="한컴바탕" w:hAnsi="한컴바탕" w:cs="한컴바탕"/>
                <w:color w:val="2F2F2F"/>
                <w:kern w:val="0"/>
                <w:szCs w:val="21"/>
                <w:lang w:eastAsia="ko-KR"/>
              </w:rPr>
            </w:pPr>
          </w:p>
          <w:p w:rsidR="00EF40DF" w:rsidRPr="00EF40DF" w:rsidRDefault="00EF40DF" w:rsidP="00EF40DF">
            <w:pPr>
              <w:widowControl/>
              <w:topLinePunct/>
              <w:snapToGrid w:val="0"/>
              <w:spacing w:line="360" w:lineRule="auto"/>
              <w:rPr>
                <w:rFonts w:ascii="한컴바탕" w:eastAsia="한컴바탕" w:hAnsi="한컴바탕" w:cs="한컴바탕"/>
                <w:color w:val="2F2F2F"/>
                <w:kern w:val="0"/>
                <w:szCs w:val="21"/>
                <w:lang w:eastAsia="ko-KR"/>
              </w:rPr>
            </w:pPr>
            <w:r w:rsidRPr="00EF40DF">
              <w:rPr>
                <w:rFonts w:ascii="한컴바탕" w:eastAsia="한컴바탕" w:hAnsi="한컴바탕" w:cs="한컴바탕" w:hint="eastAsia"/>
                <w:color w:val="2F2F2F"/>
                <w:spacing w:val="-6"/>
                <w:kern w:val="0"/>
                <w:szCs w:val="21"/>
                <w:lang w:eastAsia="ko-KR"/>
              </w:rPr>
              <w:t xml:space="preserve">&lt;최고인민법원의 </w:t>
            </w:r>
            <w:r w:rsidRPr="00EF40DF">
              <w:rPr>
                <w:rFonts w:ascii="한컴바탕" w:eastAsia="한컴바탕" w:hAnsi="한컴바탕" w:cs="한컴바탕"/>
                <w:color w:val="2F2F2F"/>
                <w:spacing w:val="-6"/>
                <w:kern w:val="0"/>
                <w:szCs w:val="21"/>
                <w:lang w:eastAsia="ko-KR"/>
              </w:rPr>
              <w:t>&lt;</w:t>
            </w:r>
            <w:r w:rsidRPr="00EF40DF">
              <w:rPr>
                <w:rFonts w:ascii="한컴바탕" w:eastAsia="한컴바탕" w:hAnsi="한컴바탕" w:cs="한컴바탕" w:hint="eastAsia"/>
                <w:color w:val="2F2F2F"/>
                <w:spacing w:val="-6"/>
                <w:kern w:val="0"/>
                <w:szCs w:val="21"/>
                <w:lang w:eastAsia="ko-KR"/>
              </w:rPr>
              <w:t xml:space="preserve">중화인민공화국 </w:t>
            </w:r>
            <w:proofErr w:type="spellStart"/>
            <w:r w:rsidRPr="00EF40DF">
              <w:rPr>
                <w:rFonts w:ascii="한컴바탕" w:eastAsia="한컴바탕" w:hAnsi="한컴바탕" w:cs="한컴바탕" w:hint="eastAsia"/>
                <w:color w:val="2F2F2F"/>
                <w:spacing w:val="-6"/>
                <w:kern w:val="0"/>
                <w:szCs w:val="21"/>
                <w:lang w:eastAsia="ko-KR"/>
              </w:rPr>
              <w:t>외상투자법</w:t>
            </w:r>
            <w:proofErr w:type="spellEnd"/>
            <w:r w:rsidRPr="00EF40DF">
              <w:rPr>
                <w:rFonts w:ascii="한컴바탕" w:eastAsia="한컴바탕" w:hAnsi="한컴바탕" w:cs="한컴바탕"/>
                <w:color w:val="2F2F2F"/>
                <w:spacing w:val="-6"/>
                <w:kern w:val="0"/>
                <w:szCs w:val="21"/>
                <w:lang w:eastAsia="ko-KR"/>
              </w:rPr>
              <w:t>&gt;</w:t>
            </w:r>
            <w:r w:rsidRPr="00EF40DF">
              <w:rPr>
                <w:rFonts w:ascii="한컴바탕" w:eastAsia="한컴바탕" w:hAnsi="한컴바탕" w:cs="한컴바탕"/>
                <w:color w:val="2F2F2F"/>
                <w:kern w:val="0"/>
                <w:szCs w:val="21"/>
                <w:lang w:eastAsia="ko-KR"/>
              </w:rPr>
              <w:t xml:space="preserve"> </w:t>
            </w:r>
            <w:r w:rsidRPr="00EF40DF">
              <w:rPr>
                <w:rFonts w:ascii="한컴바탕" w:eastAsia="한컴바탕" w:hAnsi="한컴바탕" w:cs="한컴바탕" w:hint="eastAsia"/>
                <w:color w:val="2F2F2F"/>
                <w:kern w:val="0"/>
                <w:szCs w:val="21"/>
                <w:lang w:eastAsia="ko-KR"/>
              </w:rPr>
              <w:t>적용 문제에 관한 해석</w:t>
            </w:r>
            <w:r w:rsidRPr="00EF40DF">
              <w:rPr>
                <w:rFonts w:ascii="한컴바탕" w:eastAsia="한컴바탕" w:hAnsi="한컴바탕" w:cs="한컴바탕"/>
                <w:color w:val="2F2F2F"/>
                <w:kern w:val="0"/>
                <w:szCs w:val="21"/>
                <w:lang w:eastAsia="ko-KR"/>
              </w:rPr>
              <w:t>&gt;</w:t>
            </w:r>
            <w:r w:rsidRPr="00EF40DF">
              <w:rPr>
                <w:rFonts w:ascii="한컴바탕" w:eastAsia="한컴바탕" w:hAnsi="한컴바탕" w:cs="한컴바탕" w:hint="eastAsia"/>
                <w:color w:val="2F2F2F"/>
                <w:kern w:val="0"/>
                <w:szCs w:val="21"/>
                <w:lang w:eastAsia="ko-KR"/>
              </w:rPr>
              <w:t xml:space="preserve">이 </w:t>
            </w:r>
            <w:r w:rsidRPr="00EF40DF">
              <w:rPr>
                <w:rFonts w:ascii="한컴바탕" w:eastAsia="한컴바탕" w:hAnsi="한컴바탕" w:cs="한컴바탕"/>
                <w:color w:val="2F2F2F"/>
                <w:kern w:val="0"/>
                <w:szCs w:val="21"/>
                <w:lang w:eastAsia="ko-KR"/>
              </w:rPr>
              <w:t>2019</w:t>
            </w:r>
            <w:r w:rsidRPr="00EF40DF">
              <w:rPr>
                <w:rFonts w:ascii="한컴바탕" w:eastAsia="한컴바탕" w:hAnsi="한컴바탕" w:cs="한컴바탕" w:hint="eastAsia"/>
                <w:color w:val="2F2F2F"/>
                <w:kern w:val="0"/>
                <w:szCs w:val="21"/>
                <w:lang w:eastAsia="ko-KR"/>
              </w:rPr>
              <w:t xml:space="preserve">년 </w:t>
            </w:r>
            <w:r w:rsidRPr="00EF40DF">
              <w:rPr>
                <w:rFonts w:ascii="한컴바탕" w:eastAsia="한컴바탕" w:hAnsi="한컴바탕" w:cs="한컴바탕"/>
                <w:color w:val="2F2F2F"/>
                <w:kern w:val="0"/>
                <w:szCs w:val="21"/>
                <w:lang w:eastAsia="ko-KR"/>
              </w:rPr>
              <w:t>12</w:t>
            </w:r>
            <w:r w:rsidRPr="00EF40DF">
              <w:rPr>
                <w:rFonts w:ascii="한컴바탕" w:eastAsia="한컴바탕" w:hAnsi="한컴바탕" w:cs="한컴바탕" w:hint="eastAsia"/>
                <w:color w:val="2F2F2F"/>
                <w:kern w:val="0"/>
                <w:szCs w:val="21"/>
                <w:lang w:eastAsia="ko-KR"/>
              </w:rPr>
              <w:t xml:space="preserve">월 </w:t>
            </w:r>
            <w:r w:rsidRPr="00EF40DF">
              <w:rPr>
                <w:rFonts w:ascii="한컴바탕" w:eastAsia="한컴바탕" w:hAnsi="한컴바탕" w:cs="한컴바탕"/>
                <w:color w:val="2F2F2F"/>
                <w:kern w:val="0"/>
                <w:szCs w:val="21"/>
                <w:lang w:eastAsia="ko-KR"/>
              </w:rPr>
              <w:t>16</w:t>
            </w:r>
            <w:r w:rsidRPr="00EF40DF">
              <w:rPr>
                <w:rFonts w:ascii="한컴바탕" w:eastAsia="한컴바탕" w:hAnsi="한컴바탕" w:cs="한컴바탕" w:hint="eastAsia"/>
                <w:color w:val="2F2F2F"/>
                <w:kern w:val="0"/>
                <w:szCs w:val="21"/>
                <w:lang w:eastAsia="ko-KR"/>
              </w:rPr>
              <w:t>일 최고인민법원 심판위원회 제1</w:t>
            </w:r>
            <w:r w:rsidRPr="00EF40DF">
              <w:rPr>
                <w:rFonts w:ascii="한컴바탕" w:eastAsia="한컴바탕" w:hAnsi="한컴바탕" w:cs="한컴바탕"/>
                <w:color w:val="2F2F2F"/>
                <w:kern w:val="0"/>
                <w:szCs w:val="21"/>
                <w:lang w:eastAsia="ko-KR"/>
              </w:rPr>
              <w:t>787</w:t>
            </w:r>
            <w:r w:rsidRPr="00EF40DF">
              <w:rPr>
                <w:rFonts w:ascii="한컴바탕" w:eastAsia="한컴바탕" w:hAnsi="한컴바탕" w:cs="한컴바탕" w:hint="eastAsia"/>
                <w:color w:val="2F2F2F"/>
                <w:kern w:val="0"/>
                <w:szCs w:val="21"/>
                <w:lang w:eastAsia="ko-KR"/>
              </w:rPr>
              <w:t xml:space="preserve">차 회의에서 통과되어 공포하는 바이며 </w:t>
            </w:r>
            <w:r w:rsidRPr="00EF40DF">
              <w:rPr>
                <w:rFonts w:ascii="한컴바탕" w:eastAsia="한컴바탕" w:hAnsi="한컴바탕" w:cs="한컴바탕"/>
                <w:color w:val="2F2F2F"/>
                <w:kern w:val="0"/>
                <w:szCs w:val="21"/>
                <w:lang w:eastAsia="ko-KR"/>
              </w:rPr>
              <w:t>2020</w:t>
            </w:r>
            <w:r w:rsidRPr="00EF40DF">
              <w:rPr>
                <w:rFonts w:ascii="한컴바탕" w:eastAsia="한컴바탕" w:hAnsi="한컴바탕" w:cs="한컴바탕" w:hint="eastAsia"/>
                <w:color w:val="2F2F2F"/>
                <w:kern w:val="0"/>
                <w:szCs w:val="21"/>
                <w:lang w:eastAsia="ko-KR"/>
              </w:rPr>
              <w:t xml:space="preserve">년 </w:t>
            </w:r>
            <w:r w:rsidRPr="00EF40DF">
              <w:rPr>
                <w:rFonts w:ascii="한컴바탕" w:eastAsia="한컴바탕" w:hAnsi="한컴바탕" w:cs="한컴바탕"/>
                <w:color w:val="2F2F2F"/>
                <w:kern w:val="0"/>
                <w:szCs w:val="21"/>
                <w:lang w:eastAsia="ko-KR"/>
              </w:rPr>
              <w:t>1</w:t>
            </w:r>
            <w:r w:rsidRPr="00EF40DF">
              <w:rPr>
                <w:rFonts w:ascii="한컴바탕" w:eastAsia="한컴바탕" w:hAnsi="한컴바탕" w:cs="한컴바탕" w:hint="eastAsia"/>
                <w:color w:val="2F2F2F"/>
                <w:kern w:val="0"/>
                <w:szCs w:val="21"/>
                <w:lang w:eastAsia="ko-KR"/>
              </w:rPr>
              <w:t xml:space="preserve">월 </w:t>
            </w:r>
            <w:r w:rsidRPr="00EF40DF">
              <w:rPr>
                <w:rFonts w:ascii="한컴바탕" w:eastAsia="한컴바탕" w:hAnsi="한컴바탕" w:cs="한컴바탕"/>
                <w:color w:val="2F2F2F"/>
                <w:kern w:val="0"/>
                <w:szCs w:val="21"/>
                <w:lang w:eastAsia="ko-KR"/>
              </w:rPr>
              <w:t>1</w:t>
            </w:r>
            <w:r w:rsidRPr="00EF40DF">
              <w:rPr>
                <w:rFonts w:ascii="한컴바탕" w:eastAsia="한컴바탕" w:hAnsi="한컴바탕" w:cs="한컴바탕" w:hint="eastAsia"/>
                <w:color w:val="2F2F2F"/>
                <w:kern w:val="0"/>
                <w:szCs w:val="21"/>
                <w:lang w:eastAsia="ko-KR"/>
              </w:rPr>
              <w:t>일부터 시행한다.</w:t>
            </w:r>
          </w:p>
          <w:p w:rsidR="00EF40DF" w:rsidRPr="00EF40DF" w:rsidRDefault="00EF40DF" w:rsidP="00EF40DF">
            <w:pPr>
              <w:widowControl/>
              <w:wordWrap w:val="0"/>
              <w:topLinePunct/>
              <w:snapToGrid w:val="0"/>
              <w:spacing w:line="360" w:lineRule="auto"/>
              <w:rPr>
                <w:rFonts w:ascii="한컴바탕" w:eastAsia="한컴바탕" w:hAnsi="한컴바탕" w:cs="한컴바탕"/>
                <w:color w:val="2F2F2F"/>
                <w:kern w:val="0"/>
                <w:szCs w:val="21"/>
                <w:lang w:eastAsia="ko-KR"/>
              </w:rPr>
            </w:pPr>
          </w:p>
          <w:p w:rsidR="00EF40DF" w:rsidRPr="00EF40DF" w:rsidRDefault="00EF40DF" w:rsidP="00EF40DF">
            <w:pPr>
              <w:widowControl/>
              <w:wordWrap w:val="0"/>
              <w:topLinePunct/>
              <w:snapToGrid w:val="0"/>
              <w:spacing w:line="360" w:lineRule="auto"/>
              <w:jc w:val="right"/>
              <w:rPr>
                <w:rFonts w:ascii="한컴바탕" w:eastAsia="한컴바탕" w:hAnsi="한컴바탕" w:cs="한컴바탕"/>
                <w:color w:val="2F2F2F"/>
                <w:kern w:val="0"/>
                <w:szCs w:val="21"/>
                <w:lang w:eastAsia="ko-KR"/>
              </w:rPr>
            </w:pPr>
            <w:r w:rsidRPr="00EF40DF">
              <w:rPr>
                <w:rFonts w:ascii="한컴바탕" w:eastAsia="한컴바탕" w:hAnsi="한컴바탕" w:cs="한컴바탕" w:hint="eastAsia"/>
                <w:color w:val="2F2F2F"/>
                <w:kern w:val="0"/>
                <w:szCs w:val="21"/>
                <w:lang w:eastAsia="ko-KR"/>
              </w:rPr>
              <w:t>최고인민법원</w:t>
            </w:r>
          </w:p>
          <w:p w:rsidR="00EF40DF" w:rsidRPr="00EF40DF" w:rsidRDefault="00EF40DF" w:rsidP="00EF40DF">
            <w:pPr>
              <w:widowControl/>
              <w:wordWrap w:val="0"/>
              <w:topLinePunct/>
              <w:snapToGrid w:val="0"/>
              <w:spacing w:line="360" w:lineRule="auto"/>
              <w:jc w:val="right"/>
              <w:rPr>
                <w:rFonts w:ascii="한컴바탕" w:eastAsia="한컴바탕" w:hAnsi="한컴바탕" w:cs="한컴바탕"/>
                <w:color w:val="2F2F2F"/>
                <w:kern w:val="0"/>
                <w:szCs w:val="21"/>
                <w:lang w:eastAsia="ko-KR"/>
              </w:rPr>
            </w:pPr>
            <w:r w:rsidRPr="00EF40DF">
              <w:rPr>
                <w:rFonts w:ascii="한컴바탕" w:eastAsia="한컴바탕" w:hAnsi="한컴바탕" w:cs="한컴바탕" w:hint="eastAsia"/>
                <w:color w:val="2F2F2F"/>
                <w:kern w:val="0"/>
                <w:szCs w:val="21"/>
                <w:lang w:eastAsia="ko-KR"/>
              </w:rPr>
              <w:t>2</w:t>
            </w:r>
            <w:r w:rsidRPr="00EF40DF">
              <w:rPr>
                <w:rFonts w:ascii="한컴바탕" w:eastAsia="한컴바탕" w:hAnsi="한컴바탕" w:cs="한컴바탕"/>
                <w:color w:val="2F2F2F"/>
                <w:kern w:val="0"/>
                <w:szCs w:val="21"/>
                <w:lang w:eastAsia="ko-KR"/>
              </w:rPr>
              <w:t>019</w:t>
            </w:r>
            <w:r w:rsidRPr="00EF40DF">
              <w:rPr>
                <w:rFonts w:ascii="한컴바탕" w:eastAsia="한컴바탕" w:hAnsi="한컴바탕" w:cs="한컴바탕" w:hint="eastAsia"/>
                <w:color w:val="2F2F2F"/>
                <w:kern w:val="0"/>
                <w:szCs w:val="21"/>
                <w:lang w:eastAsia="ko-KR"/>
              </w:rPr>
              <w:t xml:space="preserve">년 </w:t>
            </w:r>
            <w:r w:rsidRPr="00EF40DF">
              <w:rPr>
                <w:rFonts w:ascii="한컴바탕" w:eastAsia="한컴바탕" w:hAnsi="한컴바탕" w:cs="한컴바탕"/>
                <w:color w:val="2F2F2F"/>
                <w:kern w:val="0"/>
                <w:szCs w:val="21"/>
                <w:lang w:eastAsia="ko-KR"/>
              </w:rPr>
              <w:t>12</w:t>
            </w:r>
            <w:r w:rsidRPr="00EF40DF">
              <w:rPr>
                <w:rFonts w:ascii="한컴바탕" w:eastAsia="한컴바탕" w:hAnsi="한컴바탕" w:cs="한컴바탕" w:hint="eastAsia"/>
                <w:color w:val="2F2F2F"/>
                <w:kern w:val="0"/>
                <w:szCs w:val="21"/>
                <w:lang w:eastAsia="ko-KR"/>
              </w:rPr>
              <w:t xml:space="preserve">월 </w:t>
            </w:r>
            <w:r w:rsidRPr="00EF40DF">
              <w:rPr>
                <w:rFonts w:ascii="한컴바탕" w:eastAsia="한컴바탕" w:hAnsi="한컴바탕" w:cs="한컴바탕"/>
                <w:color w:val="2F2F2F"/>
                <w:kern w:val="0"/>
                <w:szCs w:val="21"/>
                <w:lang w:eastAsia="ko-KR"/>
              </w:rPr>
              <w:t>26</w:t>
            </w:r>
            <w:r w:rsidRPr="00EF40DF">
              <w:rPr>
                <w:rFonts w:ascii="한컴바탕" w:eastAsia="한컴바탕" w:hAnsi="한컴바탕" w:cs="한컴바탕" w:hint="eastAsia"/>
                <w:color w:val="2F2F2F"/>
                <w:kern w:val="0"/>
                <w:szCs w:val="21"/>
                <w:lang w:eastAsia="ko-KR"/>
              </w:rPr>
              <w:t>일</w:t>
            </w:r>
          </w:p>
          <w:p w:rsidR="00EF40DF" w:rsidRPr="00EF40DF" w:rsidRDefault="00EF40DF" w:rsidP="00EF40DF">
            <w:pPr>
              <w:widowControl/>
              <w:wordWrap w:val="0"/>
              <w:topLinePunct/>
              <w:snapToGrid w:val="0"/>
              <w:spacing w:line="360" w:lineRule="auto"/>
              <w:rPr>
                <w:rFonts w:ascii="한컴바탕" w:eastAsia="한컴바탕" w:hAnsi="한컴바탕" w:cs="한컴바탕"/>
                <w:color w:val="2F2F2F"/>
                <w:kern w:val="0"/>
                <w:szCs w:val="21"/>
                <w:lang w:eastAsia="ko-KR"/>
              </w:rPr>
            </w:pPr>
          </w:p>
          <w:p w:rsidR="00EF40DF" w:rsidRPr="00EF40DF" w:rsidRDefault="00EF40DF" w:rsidP="00EF40DF">
            <w:pPr>
              <w:widowControl/>
              <w:wordWrap w:val="0"/>
              <w:topLinePunct/>
              <w:snapToGrid w:val="0"/>
              <w:spacing w:line="360" w:lineRule="auto"/>
              <w:rPr>
                <w:rFonts w:ascii="한컴바탕" w:eastAsia="한컴바탕" w:hAnsi="한컴바탕" w:cs="한컴바탕"/>
                <w:color w:val="2F2F2F"/>
                <w:kern w:val="0"/>
                <w:szCs w:val="21"/>
                <w:lang w:eastAsia="ko-KR"/>
              </w:rPr>
            </w:pPr>
          </w:p>
          <w:p w:rsidR="00EF40DF" w:rsidRDefault="00EF40DF" w:rsidP="00EF40DF">
            <w:pPr>
              <w:widowControl/>
              <w:wordWrap w:val="0"/>
              <w:topLinePunct/>
              <w:snapToGrid w:val="0"/>
              <w:spacing w:line="360" w:lineRule="auto"/>
              <w:rPr>
                <w:rFonts w:ascii="한컴바탕" w:eastAsia="한컴바탕" w:hAnsi="한컴바탕" w:cs="한컴바탕" w:hint="eastAsia"/>
                <w:color w:val="2F2F2F"/>
                <w:spacing w:val="-6"/>
                <w:w w:val="95"/>
                <w:kern w:val="0"/>
                <w:szCs w:val="21"/>
                <w:lang w:eastAsia="ko-KR"/>
              </w:rPr>
            </w:pPr>
            <w:r w:rsidRPr="00EF40DF">
              <w:rPr>
                <w:rFonts w:ascii="한컴바탕" w:eastAsia="한컴바탕" w:hAnsi="한컴바탕" w:cs="한컴바탕" w:hint="eastAsia"/>
                <w:color w:val="2F2F2F"/>
                <w:spacing w:val="-6"/>
                <w:w w:val="95"/>
                <w:kern w:val="0"/>
                <w:szCs w:val="21"/>
                <w:lang w:eastAsia="ko-KR"/>
              </w:rPr>
              <w:t xml:space="preserve">&lt;중화인민공화국 </w:t>
            </w:r>
            <w:proofErr w:type="spellStart"/>
            <w:r w:rsidRPr="00EF40DF">
              <w:rPr>
                <w:rFonts w:ascii="한컴바탕" w:eastAsia="한컴바탕" w:hAnsi="한컴바탕" w:cs="한컴바탕" w:hint="eastAsia"/>
                <w:color w:val="2F2F2F"/>
                <w:spacing w:val="-6"/>
                <w:w w:val="95"/>
                <w:kern w:val="0"/>
                <w:szCs w:val="21"/>
                <w:lang w:eastAsia="ko-KR"/>
              </w:rPr>
              <w:t>외상투자법</w:t>
            </w:r>
            <w:proofErr w:type="spellEnd"/>
            <w:r w:rsidRPr="00EF40DF">
              <w:rPr>
                <w:rFonts w:ascii="한컴바탕" w:eastAsia="한컴바탕" w:hAnsi="한컴바탕" w:cs="한컴바탕"/>
                <w:color w:val="2F2F2F"/>
                <w:spacing w:val="-6"/>
                <w:w w:val="95"/>
                <w:kern w:val="0"/>
                <w:szCs w:val="21"/>
                <w:lang w:eastAsia="ko-KR"/>
              </w:rPr>
              <w:t>&gt;</w:t>
            </w:r>
            <w:r w:rsidRPr="00EF40DF">
              <w:rPr>
                <w:rFonts w:ascii="한컴바탕" w:eastAsia="한컴바탕" w:hAnsi="한컴바탕" w:cs="한컴바탕" w:hint="eastAsia"/>
                <w:color w:val="2F2F2F"/>
                <w:spacing w:val="-6"/>
                <w:w w:val="95"/>
                <w:kern w:val="0"/>
                <w:szCs w:val="21"/>
                <w:lang w:eastAsia="ko-KR"/>
              </w:rPr>
              <w:t>을 정확하게 적용하고 국내외 투자자의 합법적 권익을 평등하게 보호하며 안정적이고 공평</w:t>
            </w:r>
            <w:r w:rsidRPr="00EF40DF">
              <w:rPr>
                <w:rFonts w:ascii="한컴바탕" w:eastAsia="한컴바탕" w:hAnsi="한컴바탕" w:cs="한컴바탕"/>
                <w:color w:val="2F2F2F"/>
                <w:spacing w:val="-6"/>
                <w:w w:val="95"/>
                <w:kern w:val="0"/>
                <w:szCs w:val="21"/>
                <w:lang w:eastAsia="ko-KR"/>
              </w:rPr>
              <w:t>•</w:t>
            </w:r>
            <w:r w:rsidRPr="00EF40DF">
              <w:rPr>
                <w:rFonts w:ascii="한컴바탕" w:eastAsia="한컴바탕" w:hAnsi="한컴바탕" w:cs="한컴바탕" w:hint="eastAsia"/>
                <w:color w:val="2F2F2F"/>
                <w:spacing w:val="-6"/>
                <w:w w:val="95"/>
                <w:kern w:val="0"/>
                <w:szCs w:val="21"/>
                <w:lang w:eastAsia="ko-KR"/>
              </w:rPr>
              <w:t xml:space="preserve">투명하며 법치화된 </w:t>
            </w:r>
            <w:proofErr w:type="spellStart"/>
            <w:r w:rsidRPr="00EF40DF">
              <w:rPr>
                <w:rFonts w:ascii="한컴바탕" w:eastAsia="한컴바탕" w:hAnsi="한컴바탕" w:cs="한컴바탕" w:hint="eastAsia"/>
                <w:color w:val="2F2F2F"/>
                <w:spacing w:val="-6"/>
                <w:w w:val="95"/>
                <w:kern w:val="0"/>
                <w:szCs w:val="21"/>
                <w:lang w:eastAsia="ko-KR"/>
              </w:rPr>
              <w:t>비지니스</w:t>
            </w:r>
            <w:proofErr w:type="spellEnd"/>
            <w:r w:rsidRPr="00EF40DF">
              <w:rPr>
                <w:rFonts w:ascii="한컴바탕" w:eastAsia="한컴바탕" w:hAnsi="한컴바탕" w:cs="한컴바탕" w:hint="eastAsia"/>
                <w:color w:val="2F2F2F"/>
                <w:spacing w:val="-6"/>
                <w:w w:val="95"/>
                <w:kern w:val="0"/>
                <w:szCs w:val="21"/>
                <w:lang w:eastAsia="ko-KR"/>
              </w:rPr>
              <w:t xml:space="preserve"> 환경을 조성하기 위한 목적으로 심판 실천과 결부시켜 인민법원이 심리하는 평등 주체간의 투자계약 분쟁 사건의 법률적용 문제에 대하여 다음과 같이 해석한다.</w:t>
            </w:r>
          </w:p>
          <w:p w:rsidR="00EF40DF" w:rsidRPr="00EF40DF" w:rsidRDefault="00EF40DF" w:rsidP="00EF40DF">
            <w:pPr>
              <w:widowControl/>
              <w:wordWrap w:val="0"/>
              <w:topLinePunct/>
              <w:snapToGrid w:val="0"/>
              <w:spacing w:line="360" w:lineRule="auto"/>
              <w:rPr>
                <w:rFonts w:ascii="한컴바탕" w:eastAsia="한컴바탕" w:hAnsi="한컴바탕" w:cs="한컴바탕"/>
                <w:color w:val="2F2F2F"/>
                <w:spacing w:val="-6"/>
                <w:w w:val="95"/>
                <w:kern w:val="0"/>
                <w:szCs w:val="21"/>
                <w:lang w:eastAsia="ko-KR"/>
              </w:rPr>
            </w:pPr>
          </w:p>
          <w:p w:rsidR="00EF40DF" w:rsidRPr="00EF40DF" w:rsidRDefault="00EF40DF" w:rsidP="00EF40DF">
            <w:pPr>
              <w:pStyle w:val="a4"/>
              <w:widowControl/>
              <w:numPr>
                <w:ilvl w:val="0"/>
                <w:numId w:val="39"/>
              </w:numPr>
              <w:wordWrap w:val="0"/>
              <w:topLinePunct/>
              <w:snapToGrid w:val="0"/>
              <w:spacing w:line="360" w:lineRule="auto"/>
              <w:ind w:left="0" w:firstLineChars="0" w:firstLine="0"/>
              <w:rPr>
                <w:rFonts w:ascii="한컴바탕" w:eastAsia="한컴바탕" w:hAnsi="한컴바탕" w:cs="한컴바탕"/>
                <w:color w:val="2F2F2F"/>
                <w:kern w:val="0"/>
                <w:szCs w:val="21"/>
                <w:lang w:eastAsia="ko-KR"/>
              </w:rPr>
            </w:pPr>
            <w:r w:rsidRPr="00EF40DF">
              <w:rPr>
                <w:rFonts w:ascii="한컴바탕" w:eastAsia="한컴바탕" w:hAnsi="한컴바탕" w:cs="한컴바탕" w:hint="eastAsia"/>
                <w:color w:val="2F2F2F"/>
                <w:kern w:val="0"/>
                <w:szCs w:val="21"/>
                <w:lang w:eastAsia="ko-KR"/>
              </w:rPr>
              <w:t>이 해석에서 투자계약이라 함은 외국인투자자 즉 외국 국적의 자연인,</w:t>
            </w:r>
            <w:r w:rsidRPr="00EF40DF">
              <w:rPr>
                <w:rFonts w:ascii="한컴바탕" w:eastAsia="한컴바탕" w:hAnsi="한컴바탕" w:cs="한컴바탕"/>
                <w:color w:val="2F2F2F"/>
                <w:kern w:val="0"/>
                <w:szCs w:val="21"/>
                <w:lang w:eastAsia="ko-KR"/>
              </w:rPr>
              <w:t xml:space="preserve"> </w:t>
            </w:r>
            <w:r w:rsidRPr="00EF40DF">
              <w:rPr>
                <w:rFonts w:ascii="한컴바탕" w:eastAsia="한컴바탕" w:hAnsi="한컴바탕" w:cs="한컴바탕" w:hint="eastAsia"/>
                <w:color w:val="2F2F2F"/>
                <w:kern w:val="0"/>
                <w:szCs w:val="21"/>
                <w:lang w:eastAsia="ko-KR"/>
              </w:rPr>
              <w:t>기업 또는 기타 조직의 직간접적인 중국 내 투자를 통해 형성된 관련 계약을 지칭하며 외국인투자기업설립계약,</w:t>
            </w:r>
            <w:r w:rsidRPr="00EF40DF">
              <w:rPr>
                <w:rFonts w:ascii="한컴바탕" w:eastAsia="한컴바탕" w:hAnsi="한컴바탕" w:cs="한컴바탕"/>
                <w:color w:val="2F2F2F"/>
                <w:kern w:val="0"/>
                <w:szCs w:val="21"/>
                <w:lang w:eastAsia="ko-KR"/>
              </w:rPr>
              <w:t xml:space="preserve"> </w:t>
            </w:r>
            <w:proofErr w:type="spellStart"/>
            <w:r w:rsidRPr="00EF40DF">
              <w:rPr>
                <w:rFonts w:ascii="한컴바탕" w:eastAsia="한컴바탕" w:hAnsi="한컴바탕" w:cs="한컴바탕" w:hint="eastAsia"/>
                <w:color w:val="2F2F2F"/>
                <w:kern w:val="0"/>
                <w:szCs w:val="21"/>
                <w:lang w:eastAsia="ko-KR"/>
              </w:rPr>
              <w:t>주식양수도계약</w:t>
            </w:r>
            <w:proofErr w:type="spellEnd"/>
            <w:r w:rsidRPr="00EF40DF">
              <w:rPr>
                <w:rFonts w:ascii="한컴바탕" w:eastAsia="한컴바탕" w:hAnsi="한컴바탕" w:cs="한컴바탕" w:hint="eastAsia"/>
                <w:color w:val="2F2F2F"/>
                <w:kern w:val="0"/>
                <w:szCs w:val="21"/>
                <w:lang w:eastAsia="ko-KR"/>
              </w:rPr>
              <w:t>,</w:t>
            </w:r>
            <w:r w:rsidRPr="00EF40DF">
              <w:rPr>
                <w:rFonts w:ascii="한컴바탕" w:eastAsia="한컴바탕" w:hAnsi="한컴바탕" w:cs="한컴바탕"/>
                <w:color w:val="2F2F2F"/>
                <w:kern w:val="0"/>
                <w:szCs w:val="21"/>
                <w:lang w:eastAsia="ko-KR"/>
              </w:rPr>
              <w:t xml:space="preserve"> </w:t>
            </w:r>
            <w:proofErr w:type="spellStart"/>
            <w:r w:rsidRPr="00EF40DF">
              <w:rPr>
                <w:rFonts w:ascii="한컴바탕" w:eastAsia="한컴바탕" w:hAnsi="한컴바탕" w:cs="한컴바탕" w:hint="eastAsia"/>
                <w:color w:val="2F2F2F"/>
                <w:kern w:val="0"/>
                <w:szCs w:val="21"/>
                <w:lang w:eastAsia="ko-KR"/>
              </w:rPr>
              <w:t>지분양수도계약</w:t>
            </w:r>
            <w:proofErr w:type="spellEnd"/>
            <w:r w:rsidRPr="00EF40DF">
              <w:rPr>
                <w:rFonts w:ascii="한컴바탕" w:eastAsia="한컴바탕" w:hAnsi="한컴바탕" w:cs="한컴바탕" w:hint="eastAsia"/>
                <w:color w:val="2F2F2F"/>
                <w:kern w:val="0"/>
                <w:szCs w:val="21"/>
                <w:lang w:eastAsia="ko-KR"/>
              </w:rPr>
              <w:t>,</w:t>
            </w:r>
            <w:r w:rsidRPr="00EF40DF">
              <w:rPr>
                <w:rFonts w:ascii="한컴바탕" w:eastAsia="한컴바탕" w:hAnsi="한컴바탕" w:cs="한컴바탕"/>
                <w:color w:val="2F2F2F"/>
                <w:kern w:val="0"/>
                <w:szCs w:val="21"/>
                <w:lang w:eastAsia="ko-KR"/>
              </w:rPr>
              <w:t xml:space="preserve"> </w:t>
            </w:r>
            <w:r w:rsidRPr="00EF40DF">
              <w:rPr>
                <w:rFonts w:ascii="한컴바탕" w:eastAsia="한컴바탕" w:hAnsi="한컴바탕" w:cs="한컴바탕" w:hint="eastAsia"/>
                <w:color w:val="2F2F2F"/>
                <w:kern w:val="0"/>
                <w:szCs w:val="21"/>
                <w:lang w:eastAsia="ko-KR"/>
              </w:rPr>
              <w:t xml:space="preserve">재산지분 또는 기타 유사 권익 </w:t>
            </w:r>
            <w:proofErr w:type="spellStart"/>
            <w:r w:rsidRPr="00EF40DF">
              <w:rPr>
                <w:rFonts w:ascii="한컴바탕" w:eastAsia="한컴바탕" w:hAnsi="한컴바탕" w:cs="한컴바탕" w:hint="eastAsia"/>
                <w:color w:val="2F2F2F"/>
                <w:kern w:val="0"/>
                <w:szCs w:val="21"/>
                <w:lang w:eastAsia="ko-KR"/>
              </w:rPr>
              <w:t>양수도계약</w:t>
            </w:r>
            <w:proofErr w:type="spellEnd"/>
            <w:r w:rsidRPr="00EF40DF">
              <w:rPr>
                <w:rFonts w:ascii="한컴바탕" w:eastAsia="한컴바탕" w:hAnsi="한컴바탕" w:cs="한컴바탕" w:hint="eastAsia"/>
                <w:color w:val="2F2F2F"/>
                <w:kern w:val="0"/>
                <w:szCs w:val="21"/>
                <w:lang w:eastAsia="ko-KR"/>
              </w:rPr>
              <w:t>,</w:t>
            </w:r>
            <w:r w:rsidRPr="00EF40DF">
              <w:rPr>
                <w:rFonts w:ascii="한컴바탕" w:eastAsia="한컴바탕" w:hAnsi="한컴바탕" w:cs="한컴바탕"/>
                <w:color w:val="2F2F2F"/>
                <w:kern w:val="0"/>
                <w:szCs w:val="21"/>
                <w:lang w:eastAsia="ko-KR"/>
              </w:rPr>
              <w:t xml:space="preserve"> </w:t>
            </w:r>
            <w:r w:rsidRPr="00EF40DF">
              <w:rPr>
                <w:rFonts w:ascii="한컴바탕" w:eastAsia="한컴바탕" w:hAnsi="한컴바탕" w:cs="한컴바탕" w:hint="eastAsia"/>
                <w:color w:val="2F2F2F"/>
                <w:kern w:val="0"/>
                <w:szCs w:val="21"/>
                <w:lang w:eastAsia="ko-KR"/>
              </w:rPr>
              <w:t>신규건설 프로젝트</w:t>
            </w:r>
            <w:r w:rsidRPr="00EF40DF">
              <w:rPr>
                <w:rFonts w:ascii="한컴바탕" w:eastAsia="한컴바탕" w:hAnsi="한컴바탕" w:cs="한컴바탕"/>
                <w:color w:val="2F2F2F"/>
                <w:kern w:val="0"/>
                <w:szCs w:val="21"/>
                <w:lang w:eastAsia="ko-KR"/>
              </w:rPr>
              <w:t xml:space="preserve"> </w:t>
            </w:r>
            <w:r w:rsidRPr="00EF40DF">
              <w:rPr>
                <w:rFonts w:ascii="한컴바탕" w:eastAsia="한컴바탕" w:hAnsi="한컴바탕" w:cs="한컴바탕" w:hint="eastAsia"/>
                <w:color w:val="2F2F2F"/>
                <w:kern w:val="0"/>
                <w:szCs w:val="21"/>
                <w:lang w:eastAsia="ko-KR"/>
              </w:rPr>
              <w:t>계약 등 계약을 포함한다.</w:t>
            </w:r>
          </w:p>
          <w:p w:rsidR="00EF40DF" w:rsidRPr="00EF40DF" w:rsidRDefault="00EF40DF" w:rsidP="00EF40DF">
            <w:pPr>
              <w:widowControl/>
              <w:wordWrap w:val="0"/>
              <w:topLinePunct/>
              <w:snapToGrid w:val="0"/>
              <w:spacing w:line="360" w:lineRule="auto"/>
              <w:rPr>
                <w:rFonts w:ascii="한컴바탕" w:eastAsia="한컴바탕" w:hAnsi="한컴바탕" w:cs="한컴바탕"/>
                <w:color w:val="2F2F2F"/>
                <w:kern w:val="0"/>
                <w:szCs w:val="21"/>
                <w:lang w:eastAsia="ko-KR"/>
              </w:rPr>
            </w:pPr>
            <w:r w:rsidRPr="00EF40DF">
              <w:rPr>
                <w:rFonts w:ascii="한컴바탕" w:eastAsia="한컴바탕" w:hAnsi="한컴바탕" w:cs="한컴바탕" w:hint="eastAsia"/>
                <w:color w:val="2F2F2F"/>
                <w:kern w:val="0"/>
                <w:szCs w:val="21"/>
                <w:lang w:eastAsia="ko-KR"/>
              </w:rPr>
              <w:t>외국인투자자가 증여,</w:t>
            </w:r>
            <w:r w:rsidRPr="00EF40DF">
              <w:rPr>
                <w:rFonts w:ascii="한컴바탕" w:eastAsia="한컴바탕" w:hAnsi="한컴바탕" w:cs="한컴바탕"/>
                <w:color w:val="2F2F2F"/>
                <w:kern w:val="0"/>
                <w:szCs w:val="21"/>
                <w:lang w:eastAsia="ko-KR"/>
              </w:rPr>
              <w:t xml:space="preserve"> </w:t>
            </w:r>
            <w:r w:rsidRPr="00EF40DF">
              <w:rPr>
                <w:rFonts w:ascii="한컴바탕" w:eastAsia="한컴바탕" w:hAnsi="한컴바탕" w:cs="한컴바탕" w:hint="eastAsia"/>
                <w:color w:val="2F2F2F"/>
                <w:kern w:val="0"/>
                <w:szCs w:val="21"/>
                <w:lang w:eastAsia="ko-KR"/>
              </w:rPr>
              <w:t>재산분할,</w:t>
            </w:r>
            <w:r w:rsidRPr="00EF40DF">
              <w:rPr>
                <w:rFonts w:ascii="한컴바탕" w:eastAsia="한컴바탕" w:hAnsi="한컴바탕" w:cs="한컴바탕"/>
                <w:color w:val="2F2F2F"/>
                <w:kern w:val="0"/>
                <w:szCs w:val="21"/>
                <w:lang w:eastAsia="ko-KR"/>
              </w:rPr>
              <w:t xml:space="preserve"> </w:t>
            </w:r>
            <w:r w:rsidRPr="00EF40DF">
              <w:rPr>
                <w:rFonts w:ascii="한컴바탕" w:eastAsia="한컴바탕" w:hAnsi="한컴바탕" w:cs="한컴바탕" w:hint="eastAsia"/>
                <w:color w:val="2F2F2F"/>
                <w:kern w:val="0"/>
                <w:szCs w:val="21"/>
                <w:lang w:eastAsia="ko-KR"/>
              </w:rPr>
              <w:t>기업합병,</w:t>
            </w:r>
            <w:r w:rsidRPr="00EF40DF">
              <w:rPr>
                <w:rFonts w:ascii="한컴바탕" w:eastAsia="한컴바탕" w:hAnsi="한컴바탕" w:cs="한컴바탕"/>
                <w:color w:val="2F2F2F"/>
                <w:kern w:val="0"/>
                <w:szCs w:val="21"/>
                <w:lang w:eastAsia="ko-KR"/>
              </w:rPr>
              <w:t xml:space="preserve"> </w:t>
            </w:r>
            <w:r w:rsidRPr="00EF40DF">
              <w:rPr>
                <w:rFonts w:ascii="한컴바탕" w:eastAsia="한컴바탕" w:hAnsi="한컴바탕" w:cs="한컴바탕" w:hint="eastAsia"/>
                <w:color w:val="2F2F2F"/>
                <w:kern w:val="0"/>
                <w:szCs w:val="21"/>
                <w:lang w:eastAsia="ko-KR"/>
              </w:rPr>
              <w:t xml:space="preserve">기업분할 등 방식으로 해당 권익을 취득함에 있어 발생한 계약 분쟁은 이 해석을 </w:t>
            </w:r>
            <w:proofErr w:type="spellStart"/>
            <w:r w:rsidRPr="00EF40DF">
              <w:rPr>
                <w:rFonts w:ascii="한컴바탕" w:eastAsia="한컴바탕" w:hAnsi="한컴바탕" w:cs="한컴바탕" w:hint="eastAsia"/>
                <w:color w:val="2F2F2F"/>
                <w:kern w:val="0"/>
                <w:szCs w:val="21"/>
                <w:lang w:eastAsia="ko-KR"/>
              </w:rPr>
              <w:t>적용받는다</w:t>
            </w:r>
            <w:proofErr w:type="spellEnd"/>
            <w:r w:rsidRPr="00EF40DF">
              <w:rPr>
                <w:rFonts w:ascii="한컴바탕" w:eastAsia="한컴바탕" w:hAnsi="한컴바탕" w:cs="한컴바탕" w:hint="eastAsia"/>
                <w:color w:val="2F2F2F"/>
                <w:kern w:val="0"/>
                <w:szCs w:val="21"/>
                <w:lang w:eastAsia="ko-KR"/>
              </w:rPr>
              <w:t>.</w:t>
            </w:r>
          </w:p>
          <w:p w:rsidR="00EF40DF" w:rsidRPr="00EF40DF" w:rsidRDefault="00EF40DF" w:rsidP="00EF40DF">
            <w:pPr>
              <w:pStyle w:val="a4"/>
              <w:widowControl/>
              <w:numPr>
                <w:ilvl w:val="0"/>
                <w:numId w:val="39"/>
              </w:numPr>
              <w:wordWrap w:val="0"/>
              <w:topLinePunct/>
              <w:snapToGrid w:val="0"/>
              <w:spacing w:line="360" w:lineRule="auto"/>
              <w:ind w:left="0" w:firstLineChars="0" w:firstLine="0"/>
              <w:rPr>
                <w:rFonts w:ascii="한컴바탕" w:eastAsia="한컴바탕" w:hAnsi="한컴바탕" w:cs="한컴바탕"/>
                <w:color w:val="2F2F2F"/>
                <w:spacing w:val="-14"/>
                <w:w w:val="90"/>
                <w:kern w:val="0"/>
                <w:szCs w:val="21"/>
                <w:lang w:eastAsia="ko-KR"/>
              </w:rPr>
            </w:pPr>
            <w:proofErr w:type="spellStart"/>
            <w:r w:rsidRPr="00EF40DF">
              <w:rPr>
                <w:rFonts w:ascii="한컴바탕" w:eastAsia="한컴바탕" w:hAnsi="한컴바탕" w:cs="한컴바탕" w:hint="eastAsia"/>
                <w:color w:val="2F2F2F"/>
                <w:spacing w:val="-14"/>
                <w:w w:val="90"/>
                <w:kern w:val="0"/>
                <w:szCs w:val="21"/>
                <w:lang w:eastAsia="ko-KR"/>
              </w:rPr>
              <w:lastRenderedPageBreak/>
              <w:t>외상투자법</w:t>
            </w:r>
            <w:proofErr w:type="spellEnd"/>
            <w:r w:rsidRPr="00EF40DF">
              <w:rPr>
                <w:rFonts w:ascii="한컴바탕" w:eastAsia="한컴바탕" w:hAnsi="한컴바탕" w:cs="한컴바탕" w:hint="eastAsia"/>
                <w:color w:val="2F2F2F"/>
                <w:spacing w:val="-14"/>
                <w:w w:val="90"/>
                <w:kern w:val="0"/>
                <w:szCs w:val="21"/>
                <w:lang w:eastAsia="ko-KR"/>
              </w:rPr>
              <w:t xml:space="preserve"> 제4조에 규정한 외국인투자 네거티브리스트에 수록된 분야를 제외한 기타 분야에서 형성된 투자계약에 대해 당사자가 유관</w:t>
            </w:r>
            <w:r w:rsidRPr="00EF40DF">
              <w:rPr>
                <w:rFonts w:ascii="한컴바탕" w:eastAsia="한컴바탕" w:hAnsi="한컴바탕" w:cs="한컴바탕"/>
                <w:color w:val="2F2F2F"/>
                <w:spacing w:val="-14"/>
                <w:w w:val="90"/>
                <w:kern w:val="0"/>
                <w:szCs w:val="21"/>
                <w:lang w:eastAsia="ko-KR"/>
              </w:rPr>
              <w:t xml:space="preserve"> </w:t>
            </w:r>
            <w:r w:rsidRPr="00EF40DF">
              <w:rPr>
                <w:rFonts w:ascii="한컴바탕" w:eastAsia="한컴바탕" w:hAnsi="한컴바탕" w:cs="한컴바탕" w:hint="eastAsia"/>
                <w:color w:val="2F2F2F"/>
                <w:spacing w:val="-14"/>
                <w:w w:val="90"/>
                <w:kern w:val="0"/>
                <w:szCs w:val="21"/>
                <w:lang w:eastAsia="ko-KR"/>
              </w:rPr>
              <w:t xml:space="preserve">행정주관부서의 계약 비준•등기 절차를 거치지 아니하였음을 이유로 계약의 무효 또는 효력 </w:t>
            </w:r>
            <w:proofErr w:type="spellStart"/>
            <w:r w:rsidRPr="00EF40DF">
              <w:rPr>
                <w:rFonts w:ascii="한컴바탕" w:eastAsia="한컴바탕" w:hAnsi="한컴바탕" w:cs="한컴바탕" w:hint="eastAsia"/>
                <w:color w:val="2F2F2F"/>
                <w:spacing w:val="-14"/>
                <w:w w:val="90"/>
                <w:kern w:val="0"/>
                <w:szCs w:val="21"/>
                <w:lang w:eastAsia="ko-KR"/>
              </w:rPr>
              <w:t>미발생을</w:t>
            </w:r>
            <w:proofErr w:type="spellEnd"/>
            <w:r w:rsidRPr="00EF40DF">
              <w:rPr>
                <w:rFonts w:ascii="한컴바탕" w:eastAsia="한컴바탕" w:hAnsi="한컴바탕" w:cs="한컴바탕" w:hint="eastAsia"/>
                <w:color w:val="2F2F2F"/>
                <w:spacing w:val="-14"/>
                <w:w w:val="90"/>
                <w:kern w:val="0"/>
                <w:szCs w:val="21"/>
                <w:lang w:eastAsia="ko-KR"/>
              </w:rPr>
              <w:t xml:space="preserve"> 주장하는 경우 인민법원은 그 주장을 지지하지 아니한다.</w:t>
            </w:r>
          </w:p>
          <w:p w:rsidR="00EF40DF" w:rsidRDefault="00EF40DF" w:rsidP="00EF40DF">
            <w:pPr>
              <w:widowControl/>
              <w:wordWrap w:val="0"/>
              <w:topLinePunct/>
              <w:snapToGrid w:val="0"/>
              <w:spacing w:line="360" w:lineRule="auto"/>
              <w:rPr>
                <w:rFonts w:ascii="한컴바탕" w:eastAsia="한컴바탕" w:hAnsi="한컴바탕" w:cs="한컴바탕" w:hint="eastAsia"/>
                <w:color w:val="2F2F2F"/>
                <w:spacing w:val="-4"/>
                <w:kern w:val="0"/>
                <w:szCs w:val="21"/>
                <w:lang w:eastAsia="ko-KR"/>
              </w:rPr>
            </w:pPr>
            <w:r w:rsidRPr="00EF40DF">
              <w:rPr>
                <w:rFonts w:ascii="한컴바탕" w:eastAsia="한컴바탕" w:hAnsi="한컴바탕" w:cs="한컴바탕" w:hint="eastAsia"/>
                <w:color w:val="2F2F2F"/>
                <w:spacing w:val="-4"/>
                <w:kern w:val="0"/>
                <w:szCs w:val="21"/>
                <w:lang w:eastAsia="ko-KR"/>
              </w:rPr>
              <w:t xml:space="preserve">전항에 규정한 투자계약이 </w:t>
            </w:r>
            <w:proofErr w:type="spellStart"/>
            <w:r w:rsidRPr="00EF40DF">
              <w:rPr>
                <w:rFonts w:ascii="한컴바탕" w:eastAsia="한컴바탕" w:hAnsi="한컴바탕" w:cs="한컴바탕" w:hint="eastAsia"/>
                <w:color w:val="2F2F2F"/>
                <w:spacing w:val="-4"/>
                <w:kern w:val="0"/>
                <w:szCs w:val="21"/>
                <w:lang w:eastAsia="ko-KR"/>
              </w:rPr>
              <w:t>외상투자법</w:t>
            </w:r>
            <w:proofErr w:type="spellEnd"/>
            <w:r w:rsidRPr="00EF40DF">
              <w:rPr>
                <w:rFonts w:ascii="한컴바탕" w:eastAsia="한컴바탕" w:hAnsi="한컴바탕" w:cs="한컴바탕" w:hint="eastAsia"/>
                <w:color w:val="2F2F2F"/>
                <w:spacing w:val="-4"/>
                <w:kern w:val="0"/>
                <w:szCs w:val="21"/>
                <w:lang w:eastAsia="ko-KR"/>
              </w:rPr>
              <w:t xml:space="preserve"> 시행 전에 체결되었으나 </w:t>
            </w:r>
            <w:proofErr w:type="spellStart"/>
            <w:r w:rsidRPr="00EF40DF">
              <w:rPr>
                <w:rFonts w:ascii="한컴바탕" w:eastAsia="한컴바탕" w:hAnsi="한컴바탕" w:cs="한컴바탕" w:hint="eastAsia"/>
                <w:color w:val="2F2F2F"/>
                <w:spacing w:val="-4"/>
                <w:kern w:val="0"/>
                <w:szCs w:val="21"/>
                <w:lang w:eastAsia="ko-KR"/>
              </w:rPr>
              <w:t>외상투자법</w:t>
            </w:r>
            <w:proofErr w:type="spellEnd"/>
            <w:r w:rsidRPr="00EF40DF">
              <w:rPr>
                <w:rFonts w:ascii="한컴바탕" w:eastAsia="한컴바탕" w:hAnsi="한컴바탕" w:cs="한컴바탕"/>
                <w:color w:val="2F2F2F"/>
                <w:spacing w:val="-4"/>
                <w:kern w:val="0"/>
                <w:szCs w:val="21"/>
                <w:lang w:eastAsia="ko-KR"/>
              </w:rPr>
              <w:t xml:space="preserve"> </w:t>
            </w:r>
            <w:r w:rsidRPr="00EF40DF">
              <w:rPr>
                <w:rFonts w:ascii="한컴바탕" w:eastAsia="한컴바탕" w:hAnsi="한컴바탕" w:cs="한컴바탕" w:hint="eastAsia"/>
                <w:color w:val="2F2F2F"/>
                <w:spacing w:val="-4"/>
                <w:kern w:val="0"/>
                <w:szCs w:val="21"/>
                <w:lang w:eastAsia="ko-KR"/>
              </w:rPr>
              <w:t xml:space="preserve">시행 시작 시점에 인민법원의 확정판결이 내려지지 아니한 경우 전항의 규정을 적용하여 계약을 효력을 판단한다. </w:t>
            </w:r>
          </w:p>
          <w:p w:rsidR="00EF40DF" w:rsidRPr="00EF40DF" w:rsidRDefault="00EF40DF" w:rsidP="00EF40DF">
            <w:pPr>
              <w:widowControl/>
              <w:wordWrap w:val="0"/>
              <w:topLinePunct/>
              <w:snapToGrid w:val="0"/>
              <w:spacing w:line="360" w:lineRule="auto"/>
              <w:rPr>
                <w:rFonts w:ascii="한컴바탕" w:eastAsia="한컴바탕" w:hAnsi="한컴바탕" w:cs="한컴바탕"/>
                <w:color w:val="2F2F2F"/>
                <w:spacing w:val="-4"/>
                <w:kern w:val="0"/>
                <w:szCs w:val="21"/>
                <w:lang w:eastAsia="ko-KR"/>
              </w:rPr>
            </w:pPr>
          </w:p>
          <w:p w:rsidR="00EF40DF" w:rsidRDefault="00EF40DF" w:rsidP="00EF40DF">
            <w:pPr>
              <w:pStyle w:val="a4"/>
              <w:widowControl/>
              <w:numPr>
                <w:ilvl w:val="0"/>
                <w:numId w:val="39"/>
              </w:numPr>
              <w:wordWrap w:val="0"/>
              <w:topLinePunct/>
              <w:snapToGrid w:val="0"/>
              <w:spacing w:line="360" w:lineRule="auto"/>
              <w:ind w:left="0" w:firstLineChars="0" w:firstLine="0"/>
              <w:rPr>
                <w:rFonts w:ascii="한컴바탕" w:eastAsia="한컴바탕" w:hAnsi="한컴바탕" w:cs="한컴바탕" w:hint="eastAsia"/>
                <w:color w:val="2F2F2F"/>
                <w:kern w:val="0"/>
                <w:szCs w:val="21"/>
                <w:lang w:eastAsia="ko-KR"/>
              </w:rPr>
            </w:pPr>
            <w:r w:rsidRPr="00EF40DF">
              <w:rPr>
                <w:rFonts w:ascii="한컴바탕" w:eastAsia="한컴바탕" w:hAnsi="한컴바탕" w:cs="한컴바탕" w:hint="eastAsia"/>
                <w:color w:val="2F2F2F"/>
                <w:kern w:val="0"/>
                <w:szCs w:val="21"/>
                <w:lang w:eastAsia="ko-KR"/>
              </w:rPr>
              <w:t>외국인투자 네거티브리스트에 수록된 투자금지 분야에 대한 외국인투자자의 투자에 대해 당사자가 투자계약의 무효를 주장하는 경우 인민법원은 그 주장을 지지하여야 한다.</w:t>
            </w:r>
          </w:p>
          <w:p w:rsidR="00EF40DF" w:rsidRPr="00EF40DF" w:rsidRDefault="00EF40DF" w:rsidP="00EF40DF">
            <w:pPr>
              <w:pStyle w:val="a4"/>
              <w:widowControl/>
              <w:wordWrap w:val="0"/>
              <w:topLinePunct/>
              <w:snapToGrid w:val="0"/>
              <w:spacing w:line="360" w:lineRule="auto"/>
              <w:ind w:firstLineChars="0" w:firstLine="0"/>
              <w:rPr>
                <w:rFonts w:ascii="한컴바탕" w:eastAsia="한컴바탕" w:hAnsi="한컴바탕" w:cs="한컴바탕"/>
                <w:color w:val="2F2F2F"/>
                <w:kern w:val="0"/>
                <w:szCs w:val="21"/>
                <w:lang w:eastAsia="ko-KR"/>
              </w:rPr>
            </w:pPr>
          </w:p>
          <w:p w:rsidR="00EF40DF" w:rsidRPr="00EF40DF" w:rsidRDefault="00EF40DF" w:rsidP="00EF40DF">
            <w:pPr>
              <w:pStyle w:val="a4"/>
              <w:widowControl/>
              <w:numPr>
                <w:ilvl w:val="0"/>
                <w:numId w:val="39"/>
              </w:numPr>
              <w:wordWrap w:val="0"/>
              <w:topLinePunct/>
              <w:snapToGrid w:val="0"/>
              <w:spacing w:line="360" w:lineRule="auto"/>
              <w:ind w:left="0" w:firstLineChars="0" w:firstLine="0"/>
              <w:rPr>
                <w:rFonts w:ascii="한컴바탕" w:eastAsia="한컴바탕" w:hAnsi="한컴바탕" w:cs="한컴바탕"/>
                <w:color w:val="2F2F2F"/>
                <w:kern w:val="0"/>
                <w:szCs w:val="21"/>
                <w:lang w:eastAsia="ko-KR"/>
              </w:rPr>
            </w:pPr>
            <w:r w:rsidRPr="00EF40DF">
              <w:rPr>
                <w:rFonts w:ascii="한컴바탕" w:eastAsia="한컴바탕" w:hAnsi="한컴바탕" w:cs="한컴바탕" w:hint="eastAsia"/>
                <w:color w:val="2F2F2F"/>
                <w:kern w:val="0"/>
                <w:szCs w:val="21"/>
                <w:lang w:eastAsia="ko-KR"/>
              </w:rPr>
              <w:t>외국인투자 네거티브리스트에 수록된 투자제한 분야에 외국인투자자의 투자에 대해 당사자가</w:t>
            </w:r>
            <w:r w:rsidRPr="00EF40DF">
              <w:rPr>
                <w:rFonts w:ascii="한컴바탕" w:eastAsia="한컴바탕" w:hAnsi="한컴바탕" w:cs="한컴바탕"/>
                <w:color w:val="2F2F2F"/>
                <w:kern w:val="0"/>
                <w:szCs w:val="21"/>
                <w:lang w:eastAsia="ko-KR"/>
              </w:rPr>
              <w:t xml:space="preserve"> </w:t>
            </w:r>
            <w:r w:rsidRPr="00EF40DF">
              <w:rPr>
                <w:rFonts w:ascii="한컴바탕" w:eastAsia="한컴바탕" w:hAnsi="한컴바탕" w:cs="한컴바탕" w:hint="eastAsia"/>
                <w:color w:val="2F2F2F"/>
                <w:kern w:val="0"/>
                <w:szCs w:val="21"/>
                <w:lang w:eastAsia="ko-KR"/>
              </w:rPr>
              <w:t>외국인투자 제한적 특별관리조치 위반을 이유로 투자계약의 무효를 주장하는 경우 인민법원은 그 주장을 지지하여야 한다.</w:t>
            </w:r>
          </w:p>
          <w:p w:rsidR="00EF40DF" w:rsidRDefault="00EF40DF" w:rsidP="00EF40DF">
            <w:pPr>
              <w:widowControl/>
              <w:wordWrap w:val="0"/>
              <w:topLinePunct/>
              <w:snapToGrid w:val="0"/>
              <w:spacing w:line="360" w:lineRule="auto"/>
              <w:rPr>
                <w:rFonts w:ascii="한컴바탕" w:eastAsia="한컴바탕" w:hAnsi="한컴바탕" w:cs="한컴바탕"/>
                <w:color w:val="2F2F2F"/>
                <w:spacing w:val="-4"/>
                <w:w w:val="95"/>
                <w:kern w:val="0"/>
                <w:szCs w:val="21"/>
                <w:lang w:eastAsia="ko-KR"/>
              </w:rPr>
            </w:pPr>
            <w:r w:rsidRPr="00EF40DF">
              <w:rPr>
                <w:rFonts w:ascii="한컴바탕" w:eastAsia="한컴바탕" w:hAnsi="한컴바탕" w:cs="한컴바탕" w:hint="eastAsia"/>
                <w:color w:val="2F2F2F"/>
                <w:spacing w:val="-4"/>
                <w:w w:val="95"/>
                <w:kern w:val="0"/>
                <w:szCs w:val="21"/>
                <w:lang w:eastAsia="ko-KR"/>
              </w:rPr>
              <w:t>인민법원의 확정판결이 내려지기 전에 당사자가 필요한 조치를 취하여 특별관리조치의 요구를 충족시킴으로써 당사자가 전항에 규정한 투자계약의 유효를 주장하는 경우 그 주장을 지지하여야 한다.</w:t>
            </w:r>
          </w:p>
          <w:p w:rsidR="00EF40DF" w:rsidRPr="00EF40DF" w:rsidRDefault="00EF40DF" w:rsidP="00EF40DF">
            <w:pPr>
              <w:widowControl/>
              <w:wordWrap w:val="0"/>
              <w:topLinePunct/>
              <w:snapToGrid w:val="0"/>
              <w:spacing w:line="360" w:lineRule="auto"/>
              <w:rPr>
                <w:rFonts w:ascii="한컴바탕" w:eastAsia="한컴바탕" w:hAnsi="한컴바탕" w:cs="한컴바탕"/>
                <w:color w:val="2F2F2F"/>
                <w:spacing w:val="-4"/>
                <w:w w:val="95"/>
                <w:kern w:val="0"/>
                <w:szCs w:val="21"/>
                <w:lang w:eastAsia="ko-KR"/>
              </w:rPr>
            </w:pPr>
          </w:p>
          <w:p w:rsidR="00EF40DF" w:rsidRDefault="00EF40DF" w:rsidP="00EF40DF">
            <w:pPr>
              <w:pStyle w:val="a4"/>
              <w:widowControl/>
              <w:numPr>
                <w:ilvl w:val="0"/>
                <w:numId w:val="39"/>
              </w:numPr>
              <w:wordWrap w:val="0"/>
              <w:topLinePunct/>
              <w:snapToGrid w:val="0"/>
              <w:spacing w:line="360" w:lineRule="auto"/>
              <w:ind w:left="0" w:firstLineChars="0" w:firstLine="0"/>
              <w:rPr>
                <w:rFonts w:ascii="한컴바탕" w:eastAsia="한컴바탕" w:hAnsi="한컴바탕" w:cs="한컴바탕" w:hint="eastAsia"/>
                <w:color w:val="2F2F2F"/>
                <w:spacing w:val="-4"/>
                <w:w w:val="95"/>
                <w:kern w:val="0"/>
                <w:szCs w:val="21"/>
                <w:lang w:eastAsia="ko-KR"/>
              </w:rPr>
            </w:pPr>
            <w:r w:rsidRPr="00EF40DF">
              <w:rPr>
                <w:rFonts w:ascii="한컴바탕" w:eastAsia="한컴바탕" w:hAnsi="한컴바탕" w:cs="한컴바탕" w:hint="eastAsia"/>
                <w:color w:val="2F2F2F"/>
                <w:spacing w:val="-4"/>
                <w:w w:val="95"/>
                <w:kern w:val="0"/>
                <w:szCs w:val="21"/>
                <w:lang w:eastAsia="ko-KR"/>
              </w:rPr>
              <w:t xml:space="preserve">확정판결이 내려지기 전에 외국인투자 네거티브리스트 조정으로 외국인투자자의 투자가 </w:t>
            </w:r>
            <w:proofErr w:type="spellStart"/>
            <w:r w:rsidRPr="00EF40DF">
              <w:rPr>
                <w:rFonts w:ascii="한컴바탕" w:eastAsia="한컴바탕" w:hAnsi="한컴바탕" w:cs="한컴바탕" w:hint="eastAsia"/>
                <w:color w:val="2F2F2F"/>
                <w:spacing w:val="-4"/>
                <w:w w:val="95"/>
                <w:kern w:val="0"/>
                <w:szCs w:val="21"/>
                <w:lang w:eastAsia="ko-KR"/>
              </w:rPr>
              <w:t>더이상</w:t>
            </w:r>
            <w:proofErr w:type="spellEnd"/>
            <w:r w:rsidRPr="00EF40DF">
              <w:rPr>
                <w:rFonts w:ascii="한컴바탕" w:eastAsia="한컴바탕" w:hAnsi="한컴바탕" w:cs="한컴바탕" w:hint="eastAsia"/>
                <w:color w:val="2F2F2F"/>
                <w:spacing w:val="-4"/>
                <w:w w:val="95"/>
                <w:kern w:val="0"/>
                <w:szCs w:val="21"/>
                <w:lang w:eastAsia="ko-KR"/>
              </w:rPr>
              <w:t xml:space="preserve"> 투자금지 분야 또는 투자제한 분야에 해당하지 아니함으로써 당사자가 투자계약의 유효를 주장하는 경우 인민법원은 그 주장을 지지하여야 한다.</w:t>
            </w:r>
          </w:p>
          <w:p w:rsidR="00EF40DF" w:rsidRDefault="00EF40DF" w:rsidP="00EF40DF">
            <w:pPr>
              <w:widowControl/>
              <w:wordWrap w:val="0"/>
              <w:topLinePunct/>
              <w:snapToGrid w:val="0"/>
              <w:spacing w:line="360" w:lineRule="auto"/>
              <w:rPr>
                <w:rFonts w:ascii="한컴바탕" w:eastAsia="한컴바탕" w:hAnsi="한컴바탕" w:cs="한컴바탕" w:hint="eastAsia"/>
                <w:color w:val="2F2F2F"/>
                <w:spacing w:val="-4"/>
                <w:w w:val="95"/>
                <w:kern w:val="0"/>
                <w:szCs w:val="21"/>
                <w:lang w:eastAsia="ko-KR"/>
              </w:rPr>
            </w:pPr>
          </w:p>
          <w:p w:rsidR="00EF40DF" w:rsidRPr="00EF40DF" w:rsidRDefault="00EF40DF" w:rsidP="00EF40DF">
            <w:pPr>
              <w:widowControl/>
              <w:wordWrap w:val="0"/>
              <w:topLinePunct/>
              <w:snapToGrid w:val="0"/>
              <w:spacing w:line="360" w:lineRule="auto"/>
              <w:rPr>
                <w:rFonts w:ascii="한컴바탕" w:eastAsia="한컴바탕" w:hAnsi="한컴바탕" w:cs="한컴바탕"/>
                <w:color w:val="2F2F2F"/>
                <w:spacing w:val="-4"/>
                <w:w w:val="95"/>
                <w:kern w:val="0"/>
                <w:szCs w:val="21"/>
                <w:lang w:eastAsia="ko-KR"/>
              </w:rPr>
            </w:pPr>
          </w:p>
          <w:p w:rsidR="00EF40DF" w:rsidRDefault="00EF40DF" w:rsidP="00EF40DF">
            <w:pPr>
              <w:pStyle w:val="a4"/>
              <w:widowControl/>
              <w:numPr>
                <w:ilvl w:val="0"/>
                <w:numId w:val="39"/>
              </w:numPr>
              <w:wordWrap w:val="0"/>
              <w:topLinePunct/>
              <w:snapToGrid w:val="0"/>
              <w:spacing w:line="360" w:lineRule="auto"/>
              <w:ind w:left="0" w:firstLineChars="0" w:firstLine="0"/>
              <w:rPr>
                <w:rFonts w:ascii="한컴바탕" w:eastAsia="한컴바탕" w:hAnsi="한컴바탕" w:cs="한컴바탕" w:hint="eastAsia"/>
                <w:color w:val="2F2F2F"/>
                <w:w w:val="95"/>
                <w:kern w:val="0"/>
                <w:szCs w:val="21"/>
                <w:lang w:eastAsia="ko-KR"/>
              </w:rPr>
            </w:pPr>
            <w:r w:rsidRPr="00EF40DF">
              <w:rPr>
                <w:rFonts w:ascii="한컴바탕" w:eastAsia="한컴바탕" w:hAnsi="한컴바탕" w:cs="한컴바탕" w:hint="eastAsia"/>
                <w:color w:val="2F2F2F"/>
                <w:w w:val="95"/>
                <w:kern w:val="0"/>
                <w:szCs w:val="21"/>
                <w:lang w:eastAsia="ko-KR"/>
              </w:rPr>
              <w:lastRenderedPageBreak/>
              <w:t xml:space="preserve">인민법원은 </w:t>
            </w:r>
            <w:proofErr w:type="spellStart"/>
            <w:r w:rsidRPr="00EF40DF">
              <w:rPr>
                <w:rFonts w:ascii="한컴바탕" w:eastAsia="한컴바탕" w:hAnsi="한컴바탕" w:cs="한컴바탕" w:hint="eastAsia"/>
                <w:color w:val="2F2F2F"/>
                <w:w w:val="95"/>
                <w:kern w:val="0"/>
                <w:szCs w:val="21"/>
                <w:lang w:eastAsia="ko-KR"/>
              </w:rPr>
              <w:t>홍콩특별행정구</w:t>
            </w:r>
            <w:proofErr w:type="spellEnd"/>
            <w:r w:rsidRPr="00EF40DF">
              <w:rPr>
                <w:rFonts w:ascii="한컴바탕" w:eastAsia="한컴바탕" w:hAnsi="한컴바탕" w:cs="한컴바탕"/>
                <w:color w:val="2F2F2F"/>
                <w:w w:val="95"/>
                <w:kern w:val="0"/>
                <w:szCs w:val="21"/>
                <w:lang w:eastAsia="ko-KR"/>
              </w:rPr>
              <w:t>•</w:t>
            </w:r>
            <w:proofErr w:type="spellStart"/>
            <w:r w:rsidRPr="00EF40DF">
              <w:rPr>
                <w:rFonts w:ascii="한컴바탕" w:eastAsia="한컴바탕" w:hAnsi="한컴바탕" w:cs="한컴바탕" w:hint="eastAsia"/>
                <w:color w:val="2F2F2F"/>
                <w:w w:val="95"/>
                <w:kern w:val="0"/>
                <w:szCs w:val="21"/>
                <w:lang w:eastAsia="ko-KR"/>
              </w:rPr>
              <w:t>마카오특별행정구</w:t>
            </w:r>
            <w:proofErr w:type="spellEnd"/>
            <w:r w:rsidRPr="00EF40DF">
              <w:rPr>
                <w:rFonts w:ascii="한컴바탕" w:eastAsia="한컴바탕" w:hAnsi="한컴바탕" w:cs="한컴바탕" w:hint="eastAsia"/>
                <w:color w:val="2F2F2F"/>
                <w:w w:val="95"/>
                <w:kern w:val="0"/>
                <w:szCs w:val="21"/>
                <w:lang w:eastAsia="ko-KR"/>
              </w:rPr>
              <w:t xml:space="preserve"> 투자자 및</w:t>
            </w:r>
            <w:r w:rsidRPr="00EF40DF">
              <w:rPr>
                <w:rFonts w:ascii="한컴바탕" w:eastAsia="한컴바탕" w:hAnsi="한컴바탕" w:cs="한컴바탕"/>
                <w:color w:val="2F2F2F"/>
                <w:w w:val="95"/>
                <w:kern w:val="0"/>
                <w:szCs w:val="21"/>
                <w:lang w:eastAsia="ko-KR"/>
              </w:rPr>
              <w:t xml:space="preserve"> </w:t>
            </w:r>
            <w:r w:rsidRPr="00EF40DF">
              <w:rPr>
                <w:rFonts w:ascii="한컴바탕" w:eastAsia="한컴바탕" w:hAnsi="한컴바탕" w:cs="한컴바탕" w:hint="eastAsia"/>
                <w:color w:val="2F2F2F"/>
                <w:w w:val="95"/>
                <w:kern w:val="0"/>
                <w:szCs w:val="21"/>
                <w:lang w:eastAsia="ko-KR"/>
              </w:rPr>
              <w:t xml:space="preserve">해외 이주 중국 공민의 내륙지역 투자와 및 타이완지역 투자자의 대륙지역 투자와 관련하여 발생한 분쟁 사건을 심리함에 있어 이 해석을 참조하여 적용할 수 있다. </w:t>
            </w:r>
          </w:p>
          <w:p w:rsidR="00EF40DF" w:rsidRPr="00EF40DF" w:rsidRDefault="00EF40DF" w:rsidP="00EF40DF">
            <w:pPr>
              <w:widowControl/>
              <w:wordWrap w:val="0"/>
              <w:topLinePunct/>
              <w:snapToGrid w:val="0"/>
              <w:spacing w:line="360" w:lineRule="auto"/>
              <w:rPr>
                <w:rFonts w:ascii="한컴바탕" w:eastAsia="한컴바탕" w:hAnsi="한컴바탕" w:cs="한컴바탕"/>
                <w:color w:val="2F2F2F"/>
                <w:w w:val="95"/>
                <w:kern w:val="0"/>
                <w:szCs w:val="21"/>
                <w:lang w:eastAsia="ko-KR"/>
              </w:rPr>
            </w:pPr>
          </w:p>
          <w:p w:rsidR="00EF40DF" w:rsidRPr="00EF40DF" w:rsidRDefault="00EF40DF" w:rsidP="00EF40DF">
            <w:pPr>
              <w:pStyle w:val="a4"/>
              <w:widowControl/>
              <w:numPr>
                <w:ilvl w:val="0"/>
                <w:numId w:val="39"/>
              </w:numPr>
              <w:wordWrap w:val="0"/>
              <w:topLinePunct/>
              <w:snapToGrid w:val="0"/>
              <w:spacing w:line="360" w:lineRule="auto"/>
              <w:ind w:left="0" w:firstLineChars="0" w:firstLine="0"/>
              <w:rPr>
                <w:rFonts w:ascii="한컴바탕" w:eastAsia="한컴바탕" w:hAnsi="한컴바탕" w:cs="한컴바탕"/>
                <w:color w:val="2F2F2F"/>
                <w:kern w:val="0"/>
                <w:szCs w:val="21"/>
                <w:lang w:eastAsia="ko-KR"/>
              </w:rPr>
            </w:pPr>
            <w:r w:rsidRPr="00EF40DF">
              <w:rPr>
                <w:rFonts w:ascii="한컴바탕" w:eastAsia="한컴바탕" w:hAnsi="한컴바탕" w:cs="한컴바탕" w:hint="eastAsia"/>
                <w:color w:val="2F2F2F"/>
                <w:kern w:val="0"/>
                <w:szCs w:val="21"/>
                <w:lang w:eastAsia="ko-KR"/>
              </w:rPr>
              <w:t xml:space="preserve">이 해석은 </w:t>
            </w:r>
            <w:r w:rsidRPr="00EF40DF">
              <w:rPr>
                <w:rFonts w:ascii="한컴바탕" w:eastAsia="한컴바탕" w:hAnsi="한컴바탕" w:cs="한컴바탕"/>
                <w:color w:val="2F2F2F"/>
                <w:kern w:val="0"/>
                <w:szCs w:val="21"/>
                <w:lang w:eastAsia="ko-KR"/>
              </w:rPr>
              <w:t>2020</w:t>
            </w:r>
            <w:r w:rsidRPr="00EF40DF">
              <w:rPr>
                <w:rFonts w:ascii="한컴바탕" w:eastAsia="한컴바탕" w:hAnsi="한컴바탕" w:cs="한컴바탕" w:hint="eastAsia"/>
                <w:color w:val="2F2F2F"/>
                <w:kern w:val="0"/>
                <w:szCs w:val="21"/>
                <w:lang w:eastAsia="ko-KR"/>
              </w:rPr>
              <w:t xml:space="preserve">년 </w:t>
            </w:r>
            <w:r w:rsidRPr="00EF40DF">
              <w:rPr>
                <w:rFonts w:ascii="한컴바탕" w:eastAsia="한컴바탕" w:hAnsi="한컴바탕" w:cs="한컴바탕"/>
                <w:color w:val="2F2F2F"/>
                <w:kern w:val="0"/>
                <w:szCs w:val="21"/>
                <w:lang w:eastAsia="ko-KR"/>
              </w:rPr>
              <w:t>1</w:t>
            </w:r>
            <w:r w:rsidRPr="00EF40DF">
              <w:rPr>
                <w:rFonts w:ascii="한컴바탕" w:eastAsia="한컴바탕" w:hAnsi="한컴바탕" w:cs="한컴바탕" w:hint="eastAsia"/>
                <w:color w:val="2F2F2F"/>
                <w:kern w:val="0"/>
                <w:szCs w:val="21"/>
                <w:lang w:eastAsia="ko-KR"/>
              </w:rPr>
              <w:t xml:space="preserve">월 </w:t>
            </w:r>
            <w:r w:rsidRPr="00EF40DF">
              <w:rPr>
                <w:rFonts w:ascii="한컴바탕" w:eastAsia="한컴바탕" w:hAnsi="한컴바탕" w:cs="한컴바탕"/>
                <w:color w:val="2F2F2F"/>
                <w:kern w:val="0"/>
                <w:szCs w:val="21"/>
                <w:lang w:eastAsia="ko-KR"/>
              </w:rPr>
              <w:t>1</w:t>
            </w:r>
            <w:r w:rsidRPr="00EF40DF">
              <w:rPr>
                <w:rFonts w:ascii="한컴바탕" w:eastAsia="한컴바탕" w:hAnsi="한컴바탕" w:cs="한컴바탕" w:hint="eastAsia"/>
                <w:color w:val="2F2F2F"/>
                <w:kern w:val="0"/>
                <w:szCs w:val="21"/>
                <w:lang w:eastAsia="ko-KR"/>
              </w:rPr>
              <w:t>일부터 시행한다.</w:t>
            </w:r>
          </w:p>
          <w:p w:rsidR="00DB5008" w:rsidRPr="00EF40DF" w:rsidRDefault="00EF40DF" w:rsidP="008F1E71">
            <w:pPr>
              <w:widowControl/>
              <w:wordWrap w:val="0"/>
              <w:topLinePunct/>
              <w:snapToGrid w:val="0"/>
              <w:spacing w:line="360" w:lineRule="auto"/>
              <w:rPr>
                <w:rFonts w:ascii="SimSun" w:hAnsi="SimSun" w:cs="SimSun" w:hint="eastAsia"/>
                <w:color w:val="2F2F2F"/>
                <w:spacing w:val="-10"/>
                <w:w w:val="90"/>
                <w:kern w:val="0"/>
                <w:szCs w:val="21"/>
                <w:lang w:eastAsia="ko-KR"/>
              </w:rPr>
            </w:pPr>
            <w:r w:rsidRPr="00EF40DF">
              <w:rPr>
                <w:rFonts w:ascii="한컴바탕" w:eastAsia="한컴바탕" w:hAnsi="한컴바탕" w:cs="한컴바탕" w:hint="eastAsia"/>
                <w:color w:val="2F2F2F"/>
                <w:spacing w:val="-10"/>
                <w:w w:val="90"/>
                <w:kern w:val="0"/>
                <w:szCs w:val="21"/>
                <w:lang w:eastAsia="ko-KR"/>
              </w:rPr>
              <w:t>이 해석이 시행되기 전에 최고인민법원이 발표한 사법해석이 이 해석과 불일치한 경우 이 해석을 기준으로 한다.</w:t>
            </w:r>
          </w:p>
        </w:tc>
        <w:tc>
          <w:tcPr>
            <w:tcW w:w="539" w:type="dxa"/>
          </w:tcPr>
          <w:p w:rsidR="00DB5008" w:rsidRPr="00A3711A" w:rsidRDefault="00DB5008" w:rsidP="00DB5008">
            <w:pPr>
              <w:wordWrap w:val="0"/>
              <w:spacing w:line="290" w:lineRule="atLeast"/>
              <w:rPr>
                <w:rFonts w:ascii="SimSun" w:eastAsia="SimSun" w:hAnsi="SimSun"/>
                <w:spacing w:val="-14"/>
                <w:szCs w:val="21"/>
                <w:lang w:eastAsia="ko-KR"/>
              </w:rPr>
            </w:pPr>
          </w:p>
        </w:tc>
        <w:tc>
          <w:tcPr>
            <w:tcW w:w="3958" w:type="dxa"/>
          </w:tcPr>
          <w:p w:rsidR="00EF40DF" w:rsidRPr="00EF40DF" w:rsidRDefault="00EF40DF" w:rsidP="00EF40DF">
            <w:pPr>
              <w:widowControl/>
              <w:snapToGrid w:val="0"/>
              <w:spacing w:line="360" w:lineRule="auto"/>
              <w:jc w:val="center"/>
              <w:rPr>
                <w:rFonts w:ascii="SimSun" w:eastAsia="SimSun" w:hAnsi="SimSun" w:cs="SimSun"/>
                <w:b/>
                <w:bCs/>
                <w:color w:val="2F2F2F"/>
                <w:kern w:val="0"/>
                <w:sz w:val="26"/>
                <w:szCs w:val="26"/>
              </w:rPr>
            </w:pPr>
            <w:r w:rsidRPr="00EF40DF">
              <w:rPr>
                <w:rFonts w:ascii="SimSun" w:eastAsia="SimSun" w:hAnsi="SimSun" w:cs="SimSun" w:hint="eastAsia"/>
                <w:b/>
                <w:bCs/>
                <w:color w:val="2F2F2F"/>
                <w:kern w:val="0"/>
                <w:sz w:val="26"/>
                <w:szCs w:val="26"/>
              </w:rPr>
              <w:t>最高人民法院</w:t>
            </w:r>
          </w:p>
          <w:p w:rsidR="00EF40DF" w:rsidRPr="00EF40DF" w:rsidRDefault="00EF40DF" w:rsidP="00EF40DF">
            <w:pPr>
              <w:widowControl/>
              <w:snapToGrid w:val="0"/>
              <w:spacing w:line="360" w:lineRule="auto"/>
              <w:jc w:val="center"/>
              <w:rPr>
                <w:rFonts w:ascii="SimSun" w:eastAsia="SimSun" w:hAnsi="SimSun" w:cs="SimSun"/>
                <w:b/>
                <w:bCs/>
                <w:color w:val="2F2F2F"/>
                <w:spacing w:val="-16"/>
                <w:w w:val="90"/>
                <w:kern w:val="0"/>
                <w:sz w:val="26"/>
                <w:szCs w:val="26"/>
              </w:rPr>
            </w:pPr>
            <w:r w:rsidRPr="00EF40DF">
              <w:rPr>
                <w:rFonts w:ascii="SimSun" w:eastAsia="SimSun" w:hAnsi="SimSun" w:cs="SimSun" w:hint="eastAsia"/>
                <w:b/>
                <w:bCs/>
                <w:color w:val="2F2F2F"/>
                <w:spacing w:val="-16"/>
                <w:w w:val="90"/>
                <w:kern w:val="0"/>
                <w:sz w:val="26"/>
                <w:szCs w:val="26"/>
              </w:rPr>
              <w:t>关于适用《中华人民共和国外商投资法》</w:t>
            </w:r>
          </w:p>
          <w:p w:rsidR="00EF40DF" w:rsidRPr="00EF40DF" w:rsidRDefault="00EF40DF" w:rsidP="00EF40DF">
            <w:pPr>
              <w:widowControl/>
              <w:snapToGrid w:val="0"/>
              <w:spacing w:line="360" w:lineRule="auto"/>
              <w:jc w:val="center"/>
              <w:rPr>
                <w:rFonts w:ascii="SimSun" w:eastAsia="SimSun" w:hAnsi="SimSun" w:cs="SimSun"/>
                <w:b/>
                <w:bCs/>
                <w:color w:val="2F2F2F"/>
                <w:kern w:val="0"/>
                <w:sz w:val="26"/>
                <w:szCs w:val="26"/>
              </w:rPr>
            </w:pPr>
            <w:r w:rsidRPr="00EF40DF">
              <w:rPr>
                <w:rFonts w:ascii="SimSun" w:eastAsia="SimSun" w:hAnsi="SimSun" w:cs="SimSun" w:hint="eastAsia"/>
                <w:b/>
                <w:bCs/>
                <w:color w:val="2F2F2F"/>
                <w:kern w:val="0"/>
                <w:sz w:val="26"/>
                <w:szCs w:val="26"/>
              </w:rPr>
              <w:t>若干问题的解释</w:t>
            </w:r>
          </w:p>
          <w:p w:rsidR="00EF40DF" w:rsidRPr="00EF40DF" w:rsidRDefault="00EF40DF" w:rsidP="00EF40DF">
            <w:pPr>
              <w:widowControl/>
              <w:snapToGrid w:val="0"/>
              <w:spacing w:line="360" w:lineRule="auto"/>
              <w:jc w:val="center"/>
              <w:rPr>
                <w:rFonts w:ascii="SimSun" w:eastAsia="SimSun" w:hAnsi="SimSun" w:cs="SimSun"/>
                <w:color w:val="2F2F2F"/>
                <w:kern w:val="0"/>
                <w:szCs w:val="21"/>
              </w:rPr>
            </w:pPr>
            <w:r w:rsidRPr="00EF40DF">
              <w:rPr>
                <w:rFonts w:ascii="SimSun" w:eastAsia="SimSun" w:hAnsi="SimSun" w:cs="SimSun" w:hint="eastAsia"/>
                <w:color w:val="2F2F2F"/>
                <w:kern w:val="0"/>
                <w:szCs w:val="21"/>
              </w:rPr>
              <w:t>法释〔2019〕20号</w:t>
            </w:r>
          </w:p>
          <w:p w:rsidR="00EF40DF" w:rsidRPr="00EF40DF" w:rsidRDefault="00EF40DF" w:rsidP="00EF40DF">
            <w:pPr>
              <w:widowControl/>
              <w:snapToGrid w:val="0"/>
              <w:spacing w:line="360" w:lineRule="auto"/>
              <w:jc w:val="left"/>
              <w:rPr>
                <w:rFonts w:ascii="SimSun" w:eastAsia="SimSun" w:hAnsi="SimSun" w:cs="SimSun"/>
                <w:color w:val="2F2F2F"/>
                <w:kern w:val="0"/>
                <w:sz w:val="20"/>
                <w:szCs w:val="21"/>
              </w:rPr>
            </w:pPr>
          </w:p>
          <w:p w:rsidR="00EF40DF" w:rsidRPr="00EF40DF" w:rsidRDefault="00EF40DF" w:rsidP="00EF40DF">
            <w:pPr>
              <w:widowControl/>
              <w:snapToGrid w:val="0"/>
              <w:spacing w:line="360" w:lineRule="auto"/>
              <w:ind w:firstLine="420"/>
              <w:jc w:val="left"/>
              <w:rPr>
                <w:rFonts w:ascii="SimSun" w:eastAsia="SimSun" w:hAnsi="SimSun" w:cs="SimSun"/>
                <w:color w:val="2F2F2F"/>
                <w:kern w:val="0"/>
                <w:szCs w:val="21"/>
              </w:rPr>
            </w:pPr>
            <w:r w:rsidRPr="00EF40DF">
              <w:rPr>
                <w:rFonts w:ascii="SimSun" w:eastAsia="SimSun" w:hAnsi="SimSun" w:cs="SimSun" w:hint="eastAsia"/>
                <w:color w:val="2F2F2F"/>
                <w:kern w:val="0"/>
                <w:szCs w:val="21"/>
              </w:rPr>
              <w:t>《最高人民法院关于适用〈中华人民共和国外商投资法〉若干问题的解释》已于2019年12月16日由最高人民法院审判委员会第1787次会议通过，现予公布，自2020年1月1日起施行。</w:t>
            </w:r>
          </w:p>
          <w:p w:rsidR="00EF40DF" w:rsidRPr="00EF40DF" w:rsidRDefault="00EF40DF" w:rsidP="00EF40DF">
            <w:pPr>
              <w:widowControl/>
              <w:snapToGrid w:val="0"/>
              <w:spacing w:line="360" w:lineRule="auto"/>
              <w:ind w:firstLine="420"/>
              <w:jc w:val="left"/>
              <w:rPr>
                <w:rFonts w:ascii="SimSun" w:eastAsia="SimSun" w:hAnsi="SimSun" w:cs="SimSun"/>
                <w:color w:val="2F2F2F"/>
                <w:kern w:val="0"/>
                <w:szCs w:val="21"/>
              </w:rPr>
            </w:pPr>
          </w:p>
          <w:p w:rsidR="00EF40DF" w:rsidRPr="00EF40DF" w:rsidRDefault="00EF40DF" w:rsidP="00EF40DF">
            <w:pPr>
              <w:widowControl/>
              <w:snapToGrid w:val="0"/>
              <w:spacing w:line="360" w:lineRule="auto"/>
              <w:jc w:val="right"/>
              <w:rPr>
                <w:rFonts w:ascii="SimSun" w:eastAsia="SimSun" w:hAnsi="SimSun" w:cs="SimSun"/>
                <w:color w:val="2F2F2F"/>
                <w:kern w:val="0"/>
                <w:szCs w:val="21"/>
              </w:rPr>
            </w:pPr>
            <w:r w:rsidRPr="00EF40DF">
              <w:rPr>
                <w:rFonts w:ascii="SimSun" w:eastAsia="SimSun" w:hAnsi="SimSun" w:cs="SimSun" w:hint="eastAsia"/>
                <w:color w:val="2F2F2F"/>
                <w:kern w:val="0"/>
                <w:szCs w:val="21"/>
              </w:rPr>
              <w:t xml:space="preserve">　　最高人民法院</w:t>
            </w:r>
          </w:p>
          <w:p w:rsidR="00EF40DF" w:rsidRPr="00EF40DF" w:rsidRDefault="00EF40DF" w:rsidP="00EF40DF">
            <w:pPr>
              <w:widowControl/>
              <w:snapToGrid w:val="0"/>
              <w:spacing w:line="360" w:lineRule="auto"/>
              <w:jc w:val="right"/>
              <w:rPr>
                <w:rFonts w:ascii="SimSun" w:eastAsia="SimSun" w:hAnsi="SimSun" w:cs="SimSun"/>
                <w:color w:val="2F2F2F"/>
                <w:kern w:val="0"/>
                <w:szCs w:val="21"/>
              </w:rPr>
            </w:pPr>
            <w:r w:rsidRPr="00EF40DF">
              <w:rPr>
                <w:rFonts w:ascii="SimSun" w:eastAsia="SimSun" w:hAnsi="SimSun" w:cs="SimSun" w:hint="eastAsia"/>
                <w:color w:val="2F2F2F"/>
                <w:kern w:val="0"/>
                <w:szCs w:val="21"/>
              </w:rPr>
              <w:t xml:space="preserve">　　2019年12月26日</w:t>
            </w:r>
          </w:p>
          <w:p w:rsidR="00EF40DF" w:rsidRPr="00EF40DF" w:rsidRDefault="00EF40DF" w:rsidP="00EF40DF">
            <w:pPr>
              <w:widowControl/>
              <w:snapToGrid w:val="0"/>
              <w:spacing w:line="360" w:lineRule="auto"/>
              <w:ind w:right="840"/>
              <w:rPr>
                <w:rFonts w:ascii="SimSun" w:hAnsi="SimSun" w:cs="SimSun" w:hint="eastAsia"/>
                <w:color w:val="2F2F2F"/>
                <w:kern w:val="0"/>
                <w:szCs w:val="21"/>
                <w:lang w:eastAsia="ko-KR"/>
              </w:rPr>
            </w:pPr>
          </w:p>
          <w:p w:rsidR="00EF40DF" w:rsidRPr="00EF40DF" w:rsidRDefault="00EF40DF" w:rsidP="00EF40DF">
            <w:pPr>
              <w:widowControl/>
              <w:snapToGrid w:val="0"/>
              <w:spacing w:line="360" w:lineRule="auto"/>
              <w:jc w:val="left"/>
              <w:rPr>
                <w:rFonts w:ascii="SimSun" w:eastAsia="SimSun" w:hAnsi="SimSun" w:cs="SimSun"/>
                <w:b/>
                <w:bCs/>
                <w:color w:val="2F2F2F"/>
                <w:kern w:val="0"/>
                <w:szCs w:val="21"/>
              </w:rPr>
            </w:pPr>
          </w:p>
          <w:p w:rsidR="00EF40DF" w:rsidRDefault="00EF40DF" w:rsidP="00EF40DF">
            <w:pPr>
              <w:widowControl/>
              <w:snapToGrid w:val="0"/>
              <w:spacing w:line="360" w:lineRule="auto"/>
              <w:ind w:firstLine="420"/>
              <w:jc w:val="left"/>
              <w:rPr>
                <w:rFonts w:ascii="SimSun" w:hAnsi="SimSun" w:cs="SimSun" w:hint="eastAsia"/>
                <w:color w:val="2F2F2F"/>
                <w:kern w:val="0"/>
                <w:szCs w:val="21"/>
              </w:rPr>
            </w:pPr>
            <w:r w:rsidRPr="00EF40DF">
              <w:rPr>
                <w:rFonts w:ascii="SimSun" w:eastAsia="SimSun" w:hAnsi="SimSun" w:cs="SimSun" w:hint="eastAsia"/>
                <w:color w:val="2F2F2F"/>
                <w:kern w:val="0"/>
                <w:szCs w:val="21"/>
              </w:rPr>
              <w:t>为正确适用《中华人民共和国外商投资法》，依法平等保护中外投资者合法权益，营造稳定、公平、透明的法治化营商环境，结合审判实践，就人民法院审理平等主体之间的投资合同纠纷案件适用法律问题作出如下解释。</w:t>
            </w:r>
          </w:p>
          <w:p w:rsidR="00EF40DF" w:rsidRPr="00EF40DF" w:rsidRDefault="00EF40DF" w:rsidP="00EF40DF">
            <w:pPr>
              <w:widowControl/>
              <w:snapToGrid w:val="0"/>
              <w:spacing w:line="360" w:lineRule="auto"/>
              <w:ind w:firstLine="420"/>
              <w:jc w:val="left"/>
              <w:rPr>
                <w:rFonts w:ascii="SimSun" w:hAnsi="SimSun" w:cs="SimSun"/>
                <w:color w:val="2F2F2F"/>
                <w:kern w:val="0"/>
                <w:szCs w:val="21"/>
              </w:rPr>
            </w:pPr>
          </w:p>
          <w:p w:rsidR="00EF40DF" w:rsidRPr="00EF40DF" w:rsidRDefault="00EF40DF" w:rsidP="00EF40DF">
            <w:pPr>
              <w:widowControl/>
              <w:snapToGrid w:val="0"/>
              <w:spacing w:line="360" w:lineRule="auto"/>
              <w:jc w:val="left"/>
              <w:rPr>
                <w:rFonts w:ascii="SimSun" w:eastAsia="SimSun" w:hAnsi="SimSun" w:cs="SimSun"/>
                <w:color w:val="2F2F2F"/>
                <w:kern w:val="0"/>
                <w:szCs w:val="21"/>
              </w:rPr>
            </w:pPr>
            <w:r w:rsidRPr="00EF40DF">
              <w:rPr>
                <w:rFonts w:ascii="SimSun" w:eastAsia="SimSun" w:hAnsi="SimSun" w:cs="SimSun" w:hint="eastAsia"/>
                <w:color w:val="2F2F2F"/>
                <w:kern w:val="0"/>
                <w:szCs w:val="21"/>
              </w:rPr>
              <w:t xml:space="preserve">　　</w:t>
            </w:r>
            <w:r w:rsidRPr="00EF40DF">
              <w:rPr>
                <w:rFonts w:ascii="SimSun" w:eastAsia="SimSun" w:hAnsi="SimSun" w:cs="SimSun" w:hint="eastAsia"/>
                <w:b/>
                <w:bCs/>
                <w:color w:val="2F2F2F"/>
                <w:kern w:val="0"/>
                <w:szCs w:val="21"/>
              </w:rPr>
              <w:t>第一条</w:t>
            </w:r>
            <w:r w:rsidRPr="00EF40DF">
              <w:rPr>
                <w:rFonts w:ascii="SimSun" w:eastAsia="SimSun" w:hAnsi="SimSun" w:cs="SimSun" w:hint="eastAsia"/>
                <w:color w:val="2F2F2F"/>
                <w:kern w:val="0"/>
                <w:szCs w:val="21"/>
              </w:rPr>
              <w:t xml:space="preserve"> 本解释所称投资合同，是指外国投资者即外国的自然人、企业或者其他组织因直接或者间接在中国境内进行投资而形成的相关协议，包括设立外商投资企业合同、股份转让合同、股权转让合同、财产份额或者其他类似权益转让合同、新建项目合同等协议。</w:t>
            </w:r>
          </w:p>
          <w:p w:rsidR="00EF40DF" w:rsidRPr="00EF40DF" w:rsidRDefault="00EF40DF" w:rsidP="00EF40DF">
            <w:pPr>
              <w:widowControl/>
              <w:snapToGrid w:val="0"/>
              <w:spacing w:line="360" w:lineRule="auto"/>
              <w:jc w:val="left"/>
              <w:rPr>
                <w:rFonts w:ascii="SimSun" w:eastAsia="SimSun" w:hAnsi="SimSun" w:cs="SimSun"/>
                <w:color w:val="2F2F2F"/>
                <w:kern w:val="0"/>
                <w:szCs w:val="21"/>
              </w:rPr>
            </w:pPr>
            <w:r w:rsidRPr="00EF40DF">
              <w:rPr>
                <w:rFonts w:ascii="SimSun" w:eastAsia="SimSun" w:hAnsi="SimSun" w:cs="SimSun" w:hint="eastAsia"/>
                <w:color w:val="2F2F2F"/>
                <w:kern w:val="0"/>
                <w:szCs w:val="21"/>
              </w:rPr>
              <w:t xml:space="preserve">　　外国投资者因赠与、财产分割、企业合并、企业分立等方式取得相应权益所产生的合同纠纷，适用本解释。</w:t>
            </w:r>
          </w:p>
          <w:p w:rsidR="00EF40DF" w:rsidRPr="00EF40DF" w:rsidRDefault="00EF40DF" w:rsidP="00EF40DF">
            <w:pPr>
              <w:widowControl/>
              <w:snapToGrid w:val="0"/>
              <w:spacing w:line="360" w:lineRule="auto"/>
              <w:jc w:val="left"/>
              <w:rPr>
                <w:rFonts w:ascii="SimSun" w:eastAsia="SimSun" w:hAnsi="SimSun" w:cs="SimSun"/>
                <w:color w:val="2F2F2F"/>
                <w:kern w:val="0"/>
                <w:szCs w:val="21"/>
              </w:rPr>
            </w:pPr>
            <w:r w:rsidRPr="00EF40DF">
              <w:rPr>
                <w:rFonts w:ascii="SimSun" w:eastAsia="SimSun" w:hAnsi="SimSun" w:cs="SimSun" w:hint="eastAsia"/>
                <w:color w:val="2F2F2F"/>
                <w:kern w:val="0"/>
                <w:szCs w:val="21"/>
              </w:rPr>
              <w:lastRenderedPageBreak/>
              <w:t xml:space="preserve">　　</w:t>
            </w:r>
            <w:r w:rsidRPr="00EF40DF">
              <w:rPr>
                <w:rFonts w:ascii="SimSun" w:eastAsia="SimSun" w:hAnsi="SimSun" w:cs="SimSun" w:hint="eastAsia"/>
                <w:b/>
                <w:bCs/>
                <w:color w:val="2F2F2F"/>
                <w:kern w:val="0"/>
                <w:szCs w:val="21"/>
              </w:rPr>
              <w:t>第二条</w:t>
            </w:r>
            <w:r w:rsidRPr="00EF40DF">
              <w:rPr>
                <w:rFonts w:ascii="SimSun" w:eastAsia="SimSun" w:hAnsi="SimSun" w:cs="SimSun" w:hint="eastAsia"/>
                <w:color w:val="2F2F2F"/>
                <w:kern w:val="0"/>
                <w:szCs w:val="21"/>
              </w:rPr>
              <w:t xml:space="preserve"> 对外商投资法第四条所指的外商投资准入负面清单之外的领域形成的投资合同，当事人以合同未经有关行政主管部门批准、登记为由主张合同无效或者未生效的，人民法院不予支持。</w:t>
            </w:r>
          </w:p>
          <w:p w:rsidR="00EF40DF" w:rsidRDefault="00EF40DF" w:rsidP="00EF40DF">
            <w:pPr>
              <w:widowControl/>
              <w:snapToGrid w:val="0"/>
              <w:spacing w:line="360" w:lineRule="auto"/>
              <w:ind w:firstLine="420"/>
              <w:jc w:val="left"/>
              <w:rPr>
                <w:rFonts w:ascii="SimSun" w:hAnsi="SimSun" w:cs="SimSun" w:hint="eastAsia"/>
                <w:color w:val="2F2F2F"/>
                <w:kern w:val="0"/>
                <w:szCs w:val="21"/>
              </w:rPr>
            </w:pPr>
            <w:r w:rsidRPr="00EF40DF">
              <w:rPr>
                <w:rFonts w:ascii="SimSun" w:eastAsia="SimSun" w:hAnsi="SimSun" w:cs="SimSun" w:hint="eastAsia"/>
                <w:color w:val="2F2F2F"/>
                <w:kern w:val="0"/>
                <w:szCs w:val="21"/>
              </w:rPr>
              <w:t>前款规定的投资合同签订于外商投资法施行前，但人民法院在外商投资法施行时尚未作出生效裁判的，适用前款规定认定合同的效力。</w:t>
            </w:r>
          </w:p>
          <w:p w:rsidR="00EF40DF" w:rsidRPr="00EF40DF" w:rsidRDefault="00EF40DF" w:rsidP="00EF40DF">
            <w:pPr>
              <w:widowControl/>
              <w:snapToGrid w:val="0"/>
              <w:spacing w:line="360" w:lineRule="auto"/>
              <w:ind w:firstLine="420"/>
              <w:jc w:val="left"/>
              <w:rPr>
                <w:rFonts w:ascii="SimSun" w:hAnsi="SimSun" w:cs="SimSun"/>
                <w:color w:val="2F2F2F"/>
                <w:kern w:val="0"/>
                <w:szCs w:val="21"/>
              </w:rPr>
            </w:pPr>
          </w:p>
          <w:p w:rsidR="00EF40DF" w:rsidRDefault="00EF40DF" w:rsidP="00EF40DF">
            <w:pPr>
              <w:widowControl/>
              <w:snapToGrid w:val="0"/>
              <w:spacing w:line="360" w:lineRule="auto"/>
              <w:ind w:firstLine="420"/>
              <w:jc w:val="left"/>
              <w:rPr>
                <w:rFonts w:ascii="SimSun" w:hAnsi="SimSun" w:cs="SimSun" w:hint="eastAsia"/>
                <w:color w:val="2F2F2F"/>
                <w:kern w:val="0"/>
                <w:szCs w:val="21"/>
              </w:rPr>
            </w:pPr>
            <w:r w:rsidRPr="00EF40DF">
              <w:rPr>
                <w:rFonts w:ascii="SimSun" w:eastAsia="SimSun" w:hAnsi="SimSun" w:cs="SimSun" w:hint="eastAsia"/>
                <w:b/>
                <w:bCs/>
                <w:color w:val="2F2F2F"/>
                <w:kern w:val="0"/>
                <w:szCs w:val="21"/>
              </w:rPr>
              <w:t>第三条</w:t>
            </w:r>
            <w:r w:rsidRPr="00EF40DF">
              <w:rPr>
                <w:rFonts w:ascii="SimSun" w:eastAsia="SimSun" w:hAnsi="SimSun" w:cs="SimSun" w:hint="eastAsia"/>
                <w:color w:val="2F2F2F"/>
                <w:kern w:val="0"/>
                <w:szCs w:val="21"/>
              </w:rPr>
              <w:t xml:space="preserve"> 外国投资者投资外商投资准入负面清单规定禁止投资的领域，当事人主张投资合同无效的，人民法院应予支持。</w:t>
            </w:r>
          </w:p>
          <w:p w:rsidR="00EF40DF" w:rsidRPr="00EF40DF" w:rsidRDefault="00EF40DF" w:rsidP="00EF40DF">
            <w:pPr>
              <w:widowControl/>
              <w:snapToGrid w:val="0"/>
              <w:spacing w:line="360" w:lineRule="auto"/>
              <w:ind w:firstLine="420"/>
              <w:jc w:val="left"/>
              <w:rPr>
                <w:rFonts w:ascii="SimSun" w:hAnsi="SimSun" w:cs="SimSun"/>
                <w:color w:val="2F2F2F"/>
                <w:kern w:val="0"/>
                <w:szCs w:val="21"/>
              </w:rPr>
            </w:pPr>
          </w:p>
          <w:p w:rsidR="00EF40DF" w:rsidRPr="00EF40DF" w:rsidRDefault="00EF40DF" w:rsidP="00EF40DF">
            <w:pPr>
              <w:widowControl/>
              <w:snapToGrid w:val="0"/>
              <w:spacing w:line="360" w:lineRule="auto"/>
              <w:jc w:val="left"/>
              <w:rPr>
                <w:rFonts w:ascii="SimSun" w:eastAsia="SimSun" w:hAnsi="SimSun" w:cs="SimSun"/>
                <w:color w:val="2F2F2F"/>
                <w:kern w:val="0"/>
                <w:szCs w:val="21"/>
              </w:rPr>
            </w:pPr>
            <w:r w:rsidRPr="00EF40DF">
              <w:rPr>
                <w:rFonts w:ascii="SimSun" w:eastAsia="SimSun" w:hAnsi="SimSun" w:cs="SimSun" w:hint="eastAsia"/>
                <w:color w:val="2F2F2F"/>
                <w:kern w:val="0"/>
                <w:szCs w:val="21"/>
              </w:rPr>
              <w:t xml:space="preserve">　　</w:t>
            </w:r>
            <w:r w:rsidRPr="00EF40DF">
              <w:rPr>
                <w:rFonts w:ascii="SimSun" w:eastAsia="SimSun" w:hAnsi="SimSun" w:cs="SimSun" w:hint="eastAsia"/>
                <w:b/>
                <w:bCs/>
                <w:color w:val="2F2F2F"/>
                <w:kern w:val="0"/>
                <w:szCs w:val="21"/>
              </w:rPr>
              <w:t>第四条</w:t>
            </w:r>
            <w:r w:rsidRPr="00EF40DF">
              <w:rPr>
                <w:rFonts w:ascii="SimSun" w:eastAsia="SimSun" w:hAnsi="SimSun" w:cs="SimSun" w:hint="eastAsia"/>
                <w:color w:val="2F2F2F"/>
                <w:kern w:val="0"/>
                <w:szCs w:val="21"/>
              </w:rPr>
              <w:t xml:space="preserve"> 外国投资者投资外商投资准入负面清单规定限制投资的领域，当事人以违反限制性准入特别管理措施为由，主张投资合同无效的，人民法院应予支持。</w:t>
            </w:r>
          </w:p>
          <w:p w:rsidR="00EF40DF" w:rsidRDefault="00EF40DF" w:rsidP="00EF40DF">
            <w:pPr>
              <w:widowControl/>
              <w:snapToGrid w:val="0"/>
              <w:spacing w:line="360" w:lineRule="auto"/>
              <w:ind w:firstLine="420"/>
              <w:jc w:val="left"/>
              <w:rPr>
                <w:rFonts w:ascii="SimSun" w:hAnsi="SimSun" w:cs="SimSun" w:hint="eastAsia"/>
                <w:color w:val="2F2F2F"/>
                <w:kern w:val="0"/>
                <w:szCs w:val="21"/>
              </w:rPr>
            </w:pPr>
            <w:r w:rsidRPr="00EF40DF">
              <w:rPr>
                <w:rFonts w:ascii="SimSun" w:eastAsia="SimSun" w:hAnsi="SimSun" w:cs="SimSun" w:hint="eastAsia"/>
                <w:color w:val="2F2F2F"/>
                <w:kern w:val="0"/>
                <w:szCs w:val="21"/>
              </w:rPr>
              <w:t>人民法院作出生效裁判前，当事人采取必要措施满足准入特别管理措施的要求，当事人主张前款规定的投资合同有效的，应予支持。</w:t>
            </w:r>
          </w:p>
          <w:p w:rsidR="00EF40DF" w:rsidRPr="00EF40DF" w:rsidRDefault="00EF40DF" w:rsidP="00EF40DF">
            <w:pPr>
              <w:widowControl/>
              <w:snapToGrid w:val="0"/>
              <w:spacing w:line="360" w:lineRule="auto"/>
              <w:ind w:firstLine="420"/>
              <w:jc w:val="left"/>
              <w:rPr>
                <w:rFonts w:ascii="SimSun" w:hAnsi="SimSun" w:cs="SimSun"/>
                <w:color w:val="2F2F2F"/>
                <w:kern w:val="0"/>
                <w:szCs w:val="21"/>
              </w:rPr>
            </w:pPr>
          </w:p>
          <w:p w:rsidR="00EF40DF" w:rsidRDefault="00EF40DF" w:rsidP="00EF40DF">
            <w:pPr>
              <w:widowControl/>
              <w:snapToGrid w:val="0"/>
              <w:spacing w:line="360" w:lineRule="auto"/>
              <w:ind w:firstLine="420"/>
              <w:jc w:val="left"/>
              <w:rPr>
                <w:rFonts w:ascii="SimSun" w:hAnsi="SimSun" w:cs="SimSun" w:hint="eastAsia"/>
                <w:color w:val="2F2F2F"/>
                <w:kern w:val="0"/>
                <w:szCs w:val="21"/>
              </w:rPr>
            </w:pPr>
            <w:r w:rsidRPr="00EF40DF">
              <w:rPr>
                <w:rFonts w:ascii="SimSun" w:eastAsia="SimSun" w:hAnsi="SimSun" w:cs="SimSun" w:hint="eastAsia"/>
                <w:b/>
                <w:bCs/>
                <w:color w:val="2F2F2F"/>
                <w:kern w:val="0"/>
                <w:szCs w:val="21"/>
              </w:rPr>
              <w:t>第五条</w:t>
            </w:r>
            <w:r w:rsidRPr="00EF40DF">
              <w:rPr>
                <w:rFonts w:ascii="SimSun" w:eastAsia="SimSun" w:hAnsi="SimSun" w:cs="SimSun" w:hint="eastAsia"/>
                <w:color w:val="2F2F2F"/>
                <w:kern w:val="0"/>
                <w:szCs w:val="21"/>
              </w:rPr>
              <w:t xml:space="preserve"> 在生效裁判作出前，因外商投资准入负面清单调整，外国投资者投资不再属于禁止或者限制投资的领域，当事人主张投资合同有效的，人民法院应予支持。</w:t>
            </w:r>
          </w:p>
          <w:p w:rsidR="00EF40DF" w:rsidRDefault="00EF40DF" w:rsidP="00EF40DF">
            <w:pPr>
              <w:widowControl/>
              <w:snapToGrid w:val="0"/>
              <w:spacing w:line="360" w:lineRule="auto"/>
              <w:ind w:firstLine="420"/>
              <w:jc w:val="left"/>
              <w:rPr>
                <w:rFonts w:ascii="SimSun" w:hAnsi="SimSun" w:cs="SimSun" w:hint="eastAsia"/>
                <w:color w:val="2F2F2F"/>
                <w:kern w:val="0"/>
                <w:szCs w:val="21"/>
                <w:lang w:eastAsia="ko-KR"/>
              </w:rPr>
            </w:pPr>
          </w:p>
          <w:p w:rsidR="00EF40DF" w:rsidRPr="00EF40DF" w:rsidRDefault="00EF40DF" w:rsidP="00EF40DF">
            <w:pPr>
              <w:widowControl/>
              <w:snapToGrid w:val="0"/>
              <w:spacing w:line="360" w:lineRule="auto"/>
              <w:ind w:firstLine="420"/>
              <w:jc w:val="left"/>
              <w:rPr>
                <w:rFonts w:ascii="SimSun" w:hAnsi="SimSun" w:cs="SimSun"/>
                <w:color w:val="2F2F2F"/>
                <w:kern w:val="0"/>
                <w:szCs w:val="21"/>
              </w:rPr>
            </w:pPr>
          </w:p>
          <w:p w:rsidR="00EF40DF" w:rsidRDefault="00EF40DF" w:rsidP="00EF40DF">
            <w:pPr>
              <w:widowControl/>
              <w:snapToGrid w:val="0"/>
              <w:spacing w:line="360" w:lineRule="auto"/>
              <w:ind w:firstLine="420"/>
              <w:jc w:val="left"/>
              <w:rPr>
                <w:rFonts w:ascii="SimSun" w:hAnsi="SimSun" w:cs="SimSun" w:hint="eastAsia"/>
                <w:color w:val="2F2F2F"/>
                <w:kern w:val="0"/>
                <w:szCs w:val="21"/>
              </w:rPr>
            </w:pPr>
            <w:r w:rsidRPr="00EF40DF">
              <w:rPr>
                <w:rFonts w:ascii="SimSun" w:eastAsia="SimSun" w:hAnsi="SimSun" w:cs="SimSun" w:hint="eastAsia"/>
                <w:b/>
                <w:bCs/>
                <w:color w:val="2F2F2F"/>
                <w:kern w:val="0"/>
                <w:szCs w:val="21"/>
              </w:rPr>
              <w:lastRenderedPageBreak/>
              <w:t>第六条</w:t>
            </w:r>
            <w:r w:rsidRPr="00EF40DF">
              <w:rPr>
                <w:rFonts w:ascii="SimSun" w:eastAsia="SimSun" w:hAnsi="SimSun" w:cs="SimSun" w:hint="eastAsia"/>
                <w:color w:val="2F2F2F"/>
                <w:kern w:val="0"/>
                <w:szCs w:val="21"/>
              </w:rPr>
              <w:t xml:space="preserve"> 人民法院审理香港特别行政区、澳门特别行政区投资者、定居在国外的中国公民在内地、台湾地区投资者在大陆投资产生的相关纠纷案件，可以参照适用本解释。</w:t>
            </w:r>
          </w:p>
          <w:p w:rsidR="00EF40DF" w:rsidRPr="00EF40DF" w:rsidRDefault="00EF40DF" w:rsidP="00EF40DF">
            <w:pPr>
              <w:widowControl/>
              <w:snapToGrid w:val="0"/>
              <w:spacing w:line="360" w:lineRule="auto"/>
              <w:ind w:firstLine="420"/>
              <w:jc w:val="left"/>
              <w:rPr>
                <w:rFonts w:ascii="SimSun" w:hAnsi="SimSun" w:cs="SimSun"/>
                <w:color w:val="2F2F2F"/>
                <w:kern w:val="0"/>
                <w:szCs w:val="21"/>
              </w:rPr>
            </w:pPr>
          </w:p>
          <w:p w:rsidR="00EF40DF" w:rsidRPr="00EF40DF" w:rsidRDefault="00EF40DF" w:rsidP="00EF40DF">
            <w:pPr>
              <w:widowControl/>
              <w:snapToGrid w:val="0"/>
              <w:spacing w:line="360" w:lineRule="auto"/>
              <w:jc w:val="left"/>
              <w:rPr>
                <w:rFonts w:ascii="SimSun" w:eastAsia="SimSun" w:hAnsi="SimSun" w:cs="SimSun"/>
                <w:color w:val="2F2F2F"/>
                <w:kern w:val="0"/>
                <w:szCs w:val="21"/>
              </w:rPr>
            </w:pPr>
            <w:r w:rsidRPr="00EF40DF">
              <w:rPr>
                <w:rFonts w:ascii="SimSun" w:eastAsia="SimSun" w:hAnsi="SimSun" w:cs="SimSun" w:hint="eastAsia"/>
                <w:color w:val="2F2F2F"/>
                <w:kern w:val="0"/>
                <w:szCs w:val="21"/>
              </w:rPr>
              <w:t xml:space="preserve">　　</w:t>
            </w:r>
            <w:r w:rsidRPr="00EF40DF">
              <w:rPr>
                <w:rFonts w:ascii="SimSun" w:eastAsia="SimSun" w:hAnsi="SimSun" w:cs="SimSun" w:hint="eastAsia"/>
                <w:b/>
                <w:bCs/>
                <w:color w:val="2F2F2F"/>
                <w:kern w:val="0"/>
                <w:szCs w:val="21"/>
              </w:rPr>
              <w:t>第七条</w:t>
            </w:r>
            <w:r w:rsidRPr="00EF40DF">
              <w:rPr>
                <w:rFonts w:ascii="SimSun" w:eastAsia="SimSun" w:hAnsi="SimSun" w:cs="SimSun" w:hint="eastAsia"/>
                <w:color w:val="2F2F2F"/>
                <w:kern w:val="0"/>
                <w:szCs w:val="21"/>
              </w:rPr>
              <w:t xml:space="preserve"> 本解释自2020年1月1日起施行。</w:t>
            </w:r>
          </w:p>
          <w:p w:rsidR="00DB5008" w:rsidRPr="00EF40DF" w:rsidRDefault="00EF40DF" w:rsidP="008F1E71">
            <w:pPr>
              <w:widowControl/>
              <w:snapToGrid w:val="0"/>
              <w:spacing w:line="360" w:lineRule="auto"/>
              <w:jc w:val="left"/>
              <w:rPr>
                <w:rFonts w:ascii="SimSun" w:hAnsi="SimSun" w:cs="SimSun" w:hint="eastAsia"/>
                <w:color w:val="2F2F2F"/>
                <w:spacing w:val="-4"/>
                <w:kern w:val="0"/>
                <w:szCs w:val="21"/>
              </w:rPr>
            </w:pPr>
            <w:r w:rsidRPr="00EF40DF">
              <w:rPr>
                <w:rFonts w:ascii="SimSun" w:eastAsia="SimSun" w:hAnsi="SimSun" w:cs="SimSun" w:hint="eastAsia"/>
                <w:color w:val="2F2F2F"/>
                <w:kern w:val="0"/>
                <w:szCs w:val="21"/>
              </w:rPr>
              <w:t xml:space="preserve">　　</w:t>
            </w:r>
            <w:r w:rsidRPr="00EF40DF">
              <w:rPr>
                <w:rFonts w:ascii="SimSun" w:eastAsia="SimSun" w:hAnsi="SimSun" w:cs="SimSun" w:hint="eastAsia"/>
                <w:color w:val="2F2F2F"/>
                <w:spacing w:val="-4"/>
                <w:kern w:val="0"/>
                <w:szCs w:val="21"/>
              </w:rPr>
              <w:t>本解释施行前本院作出的有关司法解释与本解释不一致的，以本解释为准。</w:t>
            </w:r>
          </w:p>
        </w:tc>
      </w:tr>
    </w:tbl>
    <w:p w:rsidR="00100135" w:rsidRPr="009A478E" w:rsidRDefault="00100135"/>
    <w:sectPr w:rsidR="00100135" w:rsidRPr="009A478E"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48F" w:rsidRDefault="00F2748F" w:rsidP="00C278F4">
      <w:r>
        <w:separator/>
      </w:r>
    </w:p>
  </w:endnote>
  <w:endnote w:type="continuationSeparator" w:id="0">
    <w:p w:rsidR="00F2748F" w:rsidRDefault="00F2748F"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48F" w:rsidRDefault="00F2748F" w:rsidP="00C278F4">
      <w:r>
        <w:separator/>
      </w:r>
    </w:p>
  </w:footnote>
  <w:footnote w:type="continuationSeparator" w:id="0">
    <w:p w:rsidR="00F2748F" w:rsidRDefault="00F2748F"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384A"/>
    <w:multiLevelType w:val="hybridMultilevel"/>
    <w:tmpl w:val="FB660F2E"/>
    <w:lvl w:ilvl="0" w:tplc="8D687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0312F8"/>
    <w:multiLevelType w:val="hybridMultilevel"/>
    <w:tmpl w:val="C0868DFE"/>
    <w:lvl w:ilvl="0" w:tplc="9FE0F9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F6415F"/>
    <w:multiLevelType w:val="hybridMultilevel"/>
    <w:tmpl w:val="56324578"/>
    <w:lvl w:ilvl="0" w:tplc="353466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2B2F5B"/>
    <w:multiLevelType w:val="hybridMultilevel"/>
    <w:tmpl w:val="7AD818FE"/>
    <w:lvl w:ilvl="0" w:tplc="BE3806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ECA20AA"/>
    <w:multiLevelType w:val="hybridMultilevel"/>
    <w:tmpl w:val="FEF8393C"/>
    <w:lvl w:ilvl="0" w:tplc="BB6CAB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00249A5"/>
    <w:multiLevelType w:val="hybridMultilevel"/>
    <w:tmpl w:val="AC2C86CE"/>
    <w:lvl w:ilvl="0" w:tplc="A68E3C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0583682"/>
    <w:multiLevelType w:val="hybridMultilevel"/>
    <w:tmpl w:val="6480F9BC"/>
    <w:lvl w:ilvl="0" w:tplc="6AF012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A252F92"/>
    <w:multiLevelType w:val="hybridMultilevel"/>
    <w:tmpl w:val="1CC2941C"/>
    <w:lvl w:ilvl="0" w:tplc="4872B9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58222DF"/>
    <w:multiLevelType w:val="hybridMultilevel"/>
    <w:tmpl w:val="31BA3A86"/>
    <w:lvl w:ilvl="0" w:tplc="2E8646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5D92F50"/>
    <w:multiLevelType w:val="hybridMultilevel"/>
    <w:tmpl w:val="9CDE8CB8"/>
    <w:lvl w:ilvl="0" w:tplc="195C50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979332E"/>
    <w:multiLevelType w:val="hybridMultilevel"/>
    <w:tmpl w:val="544EA8D8"/>
    <w:lvl w:ilvl="0" w:tplc="524A74AC">
      <w:start w:val="1"/>
      <w:numFmt w:val="decimal"/>
      <w:lvlText w:val="(%1)"/>
      <w:lvlJc w:val="left"/>
      <w:pPr>
        <w:ind w:left="380" w:hanging="3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CC5337C"/>
    <w:multiLevelType w:val="hybridMultilevel"/>
    <w:tmpl w:val="E34A43AC"/>
    <w:lvl w:ilvl="0" w:tplc="B88074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E1340D3"/>
    <w:multiLevelType w:val="hybridMultilevel"/>
    <w:tmpl w:val="0DFAA460"/>
    <w:lvl w:ilvl="0" w:tplc="63B0C102">
      <w:start w:val="1"/>
      <w:numFmt w:val="decimal"/>
      <w:lvlText w:val="제%1장"/>
      <w:lvlJc w:val="left"/>
      <w:pPr>
        <w:ind w:left="760" w:hanging="7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2F068C3"/>
    <w:multiLevelType w:val="hybridMultilevel"/>
    <w:tmpl w:val="88220600"/>
    <w:lvl w:ilvl="0" w:tplc="6F987836">
      <w:start w:val="1"/>
      <w:numFmt w:val="decimal"/>
      <w:lvlText w:val="제%1조"/>
      <w:lvlJc w:val="left"/>
      <w:pPr>
        <w:ind w:left="420" w:hanging="420"/>
      </w:pPr>
      <w:rPr>
        <w:rFonts w:ascii="굴림" w:eastAsia="굴림" w:hAnsi="굴림"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6E40BAB"/>
    <w:multiLevelType w:val="hybridMultilevel"/>
    <w:tmpl w:val="571E8484"/>
    <w:lvl w:ilvl="0" w:tplc="162298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BF8643A"/>
    <w:multiLevelType w:val="hybridMultilevel"/>
    <w:tmpl w:val="DD48C6C8"/>
    <w:lvl w:ilvl="0" w:tplc="345E74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10474E"/>
    <w:multiLevelType w:val="hybridMultilevel"/>
    <w:tmpl w:val="34344118"/>
    <w:lvl w:ilvl="0" w:tplc="6D8E79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4B7735D"/>
    <w:multiLevelType w:val="hybridMultilevel"/>
    <w:tmpl w:val="EBD4CA34"/>
    <w:lvl w:ilvl="0" w:tplc="75909A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4CD37DA"/>
    <w:multiLevelType w:val="hybridMultilevel"/>
    <w:tmpl w:val="BEECDE36"/>
    <w:lvl w:ilvl="0" w:tplc="970E6B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BB41D0"/>
    <w:multiLevelType w:val="hybridMultilevel"/>
    <w:tmpl w:val="D27EE3D6"/>
    <w:lvl w:ilvl="0" w:tplc="1254A760">
      <w:start w:val="1"/>
      <w:numFmt w:val="decimal"/>
      <w:lvlText w:val="제%1조"/>
      <w:lvlJc w:val="left"/>
      <w:pPr>
        <w:ind w:left="420" w:hanging="420"/>
      </w:pPr>
      <w:rPr>
        <w:rFonts w:hint="eastAsia"/>
        <w:b/>
        <w:lang w:val="e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A859C5"/>
    <w:multiLevelType w:val="hybridMultilevel"/>
    <w:tmpl w:val="709C8532"/>
    <w:lvl w:ilvl="0" w:tplc="AD7C04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B3B66BE"/>
    <w:multiLevelType w:val="hybridMultilevel"/>
    <w:tmpl w:val="D5B64002"/>
    <w:lvl w:ilvl="0" w:tplc="6C9863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E0F5819"/>
    <w:multiLevelType w:val="hybridMultilevel"/>
    <w:tmpl w:val="488237AC"/>
    <w:lvl w:ilvl="0" w:tplc="0C100404">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150A30"/>
    <w:multiLevelType w:val="hybridMultilevel"/>
    <w:tmpl w:val="3EC0DDB0"/>
    <w:lvl w:ilvl="0" w:tplc="6D6C5F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CF3CF3"/>
    <w:multiLevelType w:val="hybridMultilevel"/>
    <w:tmpl w:val="AF026632"/>
    <w:lvl w:ilvl="0" w:tplc="069046FC">
      <w:start w:val="1"/>
      <w:numFmt w:val="decimal"/>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B613673"/>
    <w:multiLevelType w:val="hybridMultilevel"/>
    <w:tmpl w:val="837C97D0"/>
    <w:lvl w:ilvl="0" w:tplc="13A89C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CF70344"/>
    <w:multiLevelType w:val="hybridMultilevel"/>
    <w:tmpl w:val="5094D76C"/>
    <w:lvl w:ilvl="0" w:tplc="CAA0E554">
      <w:start w:val="1"/>
      <w:numFmt w:val="decimal"/>
      <w:lvlText w:val="제%1조"/>
      <w:lvlJc w:val="left"/>
      <w:pPr>
        <w:ind w:left="529" w:hanging="420"/>
      </w:pPr>
      <w:rPr>
        <w:rFonts w:hint="eastAsia"/>
        <w:b/>
        <w:bCs/>
        <w:lang w:val="en-US"/>
      </w:rPr>
    </w:lvl>
    <w:lvl w:ilvl="1" w:tplc="04090019" w:tentative="1">
      <w:start w:val="1"/>
      <w:numFmt w:val="lowerLetter"/>
      <w:lvlText w:val="%2)"/>
      <w:lvlJc w:val="left"/>
      <w:pPr>
        <w:ind w:left="949" w:hanging="420"/>
      </w:pPr>
    </w:lvl>
    <w:lvl w:ilvl="2" w:tplc="0409001B" w:tentative="1">
      <w:start w:val="1"/>
      <w:numFmt w:val="lowerRoman"/>
      <w:lvlText w:val="%3."/>
      <w:lvlJc w:val="right"/>
      <w:pPr>
        <w:ind w:left="1369" w:hanging="420"/>
      </w:pPr>
    </w:lvl>
    <w:lvl w:ilvl="3" w:tplc="0409000F" w:tentative="1">
      <w:start w:val="1"/>
      <w:numFmt w:val="decimal"/>
      <w:lvlText w:val="%4."/>
      <w:lvlJc w:val="left"/>
      <w:pPr>
        <w:ind w:left="1789" w:hanging="420"/>
      </w:pPr>
    </w:lvl>
    <w:lvl w:ilvl="4" w:tplc="04090019" w:tentative="1">
      <w:start w:val="1"/>
      <w:numFmt w:val="lowerLetter"/>
      <w:lvlText w:val="%5)"/>
      <w:lvlJc w:val="left"/>
      <w:pPr>
        <w:ind w:left="2209" w:hanging="420"/>
      </w:pPr>
    </w:lvl>
    <w:lvl w:ilvl="5" w:tplc="0409001B" w:tentative="1">
      <w:start w:val="1"/>
      <w:numFmt w:val="lowerRoman"/>
      <w:lvlText w:val="%6."/>
      <w:lvlJc w:val="right"/>
      <w:pPr>
        <w:ind w:left="2629" w:hanging="420"/>
      </w:pPr>
    </w:lvl>
    <w:lvl w:ilvl="6" w:tplc="0409000F" w:tentative="1">
      <w:start w:val="1"/>
      <w:numFmt w:val="decimal"/>
      <w:lvlText w:val="%7."/>
      <w:lvlJc w:val="left"/>
      <w:pPr>
        <w:ind w:left="3049" w:hanging="420"/>
      </w:pPr>
    </w:lvl>
    <w:lvl w:ilvl="7" w:tplc="04090019" w:tentative="1">
      <w:start w:val="1"/>
      <w:numFmt w:val="lowerLetter"/>
      <w:lvlText w:val="%8)"/>
      <w:lvlJc w:val="left"/>
      <w:pPr>
        <w:ind w:left="3469" w:hanging="420"/>
      </w:pPr>
    </w:lvl>
    <w:lvl w:ilvl="8" w:tplc="0409001B" w:tentative="1">
      <w:start w:val="1"/>
      <w:numFmt w:val="lowerRoman"/>
      <w:lvlText w:val="%9."/>
      <w:lvlJc w:val="right"/>
      <w:pPr>
        <w:ind w:left="3889" w:hanging="420"/>
      </w:pPr>
    </w:lvl>
  </w:abstractNum>
  <w:abstractNum w:abstractNumId="27">
    <w:nsid w:val="6DBF007F"/>
    <w:multiLevelType w:val="hybridMultilevel"/>
    <w:tmpl w:val="607E5C78"/>
    <w:lvl w:ilvl="0" w:tplc="D4E03192">
      <w:start w:val="1"/>
      <w:numFmt w:val="decimal"/>
      <w:lvlText w:val="제%1조"/>
      <w:lvlJc w:val="left"/>
      <w:pPr>
        <w:ind w:left="529" w:hanging="420"/>
      </w:pPr>
      <w:rPr>
        <w:rFonts w:ascii="굴림" w:eastAsia="굴림" w:hAnsi="굴림" w:hint="eastAsia"/>
        <w:b/>
        <w:bCs/>
      </w:rPr>
    </w:lvl>
    <w:lvl w:ilvl="1" w:tplc="04090019" w:tentative="1">
      <w:start w:val="1"/>
      <w:numFmt w:val="lowerLetter"/>
      <w:lvlText w:val="%2)"/>
      <w:lvlJc w:val="left"/>
      <w:pPr>
        <w:ind w:left="949" w:hanging="420"/>
      </w:pPr>
    </w:lvl>
    <w:lvl w:ilvl="2" w:tplc="0409001B" w:tentative="1">
      <w:start w:val="1"/>
      <w:numFmt w:val="lowerRoman"/>
      <w:lvlText w:val="%3."/>
      <w:lvlJc w:val="right"/>
      <w:pPr>
        <w:ind w:left="1369" w:hanging="420"/>
      </w:pPr>
    </w:lvl>
    <w:lvl w:ilvl="3" w:tplc="0409000F" w:tentative="1">
      <w:start w:val="1"/>
      <w:numFmt w:val="decimal"/>
      <w:lvlText w:val="%4."/>
      <w:lvlJc w:val="left"/>
      <w:pPr>
        <w:ind w:left="1789" w:hanging="420"/>
      </w:pPr>
    </w:lvl>
    <w:lvl w:ilvl="4" w:tplc="04090019" w:tentative="1">
      <w:start w:val="1"/>
      <w:numFmt w:val="lowerLetter"/>
      <w:lvlText w:val="%5)"/>
      <w:lvlJc w:val="left"/>
      <w:pPr>
        <w:ind w:left="2209" w:hanging="420"/>
      </w:pPr>
    </w:lvl>
    <w:lvl w:ilvl="5" w:tplc="0409001B" w:tentative="1">
      <w:start w:val="1"/>
      <w:numFmt w:val="lowerRoman"/>
      <w:lvlText w:val="%6."/>
      <w:lvlJc w:val="right"/>
      <w:pPr>
        <w:ind w:left="2629" w:hanging="420"/>
      </w:pPr>
    </w:lvl>
    <w:lvl w:ilvl="6" w:tplc="0409000F" w:tentative="1">
      <w:start w:val="1"/>
      <w:numFmt w:val="decimal"/>
      <w:lvlText w:val="%7."/>
      <w:lvlJc w:val="left"/>
      <w:pPr>
        <w:ind w:left="3049" w:hanging="420"/>
      </w:pPr>
    </w:lvl>
    <w:lvl w:ilvl="7" w:tplc="04090019" w:tentative="1">
      <w:start w:val="1"/>
      <w:numFmt w:val="lowerLetter"/>
      <w:lvlText w:val="%8)"/>
      <w:lvlJc w:val="left"/>
      <w:pPr>
        <w:ind w:left="3469" w:hanging="420"/>
      </w:pPr>
    </w:lvl>
    <w:lvl w:ilvl="8" w:tplc="0409001B" w:tentative="1">
      <w:start w:val="1"/>
      <w:numFmt w:val="lowerRoman"/>
      <w:lvlText w:val="%9."/>
      <w:lvlJc w:val="right"/>
      <w:pPr>
        <w:ind w:left="3889" w:hanging="420"/>
      </w:pPr>
    </w:lvl>
  </w:abstractNum>
  <w:abstractNum w:abstractNumId="28">
    <w:nsid w:val="6F944E80"/>
    <w:multiLevelType w:val="hybridMultilevel"/>
    <w:tmpl w:val="2C82CDE2"/>
    <w:lvl w:ilvl="0" w:tplc="0F5C9F96">
      <w:start w:val="1"/>
      <w:numFmt w:val="decimal"/>
      <w:lvlText w:val="제%1조"/>
      <w:lvlJc w:val="left"/>
      <w:pPr>
        <w:ind w:left="523" w:hanging="420"/>
      </w:pPr>
      <w:rPr>
        <w:b/>
        <w:bCs/>
      </w:rPr>
    </w:lvl>
    <w:lvl w:ilvl="1" w:tplc="04090019">
      <w:start w:val="1"/>
      <w:numFmt w:val="lowerLetter"/>
      <w:lvlText w:val="%2)"/>
      <w:lvlJc w:val="left"/>
      <w:pPr>
        <w:ind w:left="943" w:hanging="420"/>
      </w:pPr>
    </w:lvl>
    <w:lvl w:ilvl="2" w:tplc="0409001B">
      <w:start w:val="1"/>
      <w:numFmt w:val="lowerRoman"/>
      <w:lvlText w:val="%3."/>
      <w:lvlJc w:val="right"/>
      <w:pPr>
        <w:ind w:left="1363" w:hanging="420"/>
      </w:pPr>
    </w:lvl>
    <w:lvl w:ilvl="3" w:tplc="0409000F">
      <w:start w:val="1"/>
      <w:numFmt w:val="decimal"/>
      <w:lvlText w:val="%4."/>
      <w:lvlJc w:val="left"/>
      <w:pPr>
        <w:ind w:left="1783" w:hanging="420"/>
      </w:pPr>
    </w:lvl>
    <w:lvl w:ilvl="4" w:tplc="04090019">
      <w:start w:val="1"/>
      <w:numFmt w:val="lowerLetter"/>
      <w:lvlText w:val="%5)"/>
      <w:lvlJc w:val="left"/>
      <w:pPr>
        <w:ind w:left="2203" w:hanging="420"/>
      </w:pPr>
    </w:lvl>
    <w:lvl w:ilvl="5" w:tplc="0409001B">
      <w:start w:val="1"/>
      <w:numFmt w:val="lowerRoman"/>
      <w:lvlText w:val="%6."/>
      <w:lvlJc w:val="right"/>
      <w:pPr>
        <w:ind w:left="2623" w:hanging="420"/>
      </w:pPr>
    </w:lvl>
    <w:lvl w:ilvl="6" w:tplc="0409000F">
      <w:start w:val="1"/>
      <w:numFmt w:val="decimal"/>
      <w:lvlText w:val="%7."/>
      <w:lvlJc w:val="left"/>
      <w:pPr>
        <w:ind w:left="3043" w:hanging="420"/>
      </w:pPr>
    </w:lvl>
    <w:lvl w:ilvl="7" w:tplc="04090019">
      <w:start w:val="1"/>
      <w:numFmt w:val="lowerLetter"/>
      <w:lvlText w:val="%8)"/>
      <w:lvlJc w:val="left"/>
      <w:pPr>
        <w:ind w:left="3463" w:hanging="420"/>
      </w:pPr>
    </w:lvl>
    <w:lvl w:ilvl="8" w:tplc="0409001B">
      <w:start w:val="1"/>
      <w:numFmt w:val="lowerRoman"/>
      <w:lvlText w:val="%9."/>
      <w:lvlJc w:val="right"/>
      <w:pPr>
        <w:ind w:left="3883" w:hanging="420"/>
      </w:pPr>
    </w:lvl>
  </w:abstractNum>
  <w:abstractNum w:abstractNumId="29">
    <w:nsid w:val="700A0D74"/>
    <w:multiLevelType w:val="hybridMultilevel"/>
    <w:tmpl w:val="09D48D78"/>
    <w:lvl w:ilvl="0" w:tplc="D98417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1FF1C90"/>
    <w:multiLevelType w:val="hybridMultilevel"/>
    <w:tmpl w:val="AC3299CC"/>
    <w:lvl w:ilvl="0" w:tplc="B6F8BD4C">
      <w:start w:val="1"/>
      <w:numFmt w:val="decimal"/>
      <w:lvlText w:val="(%1)"/>
      <w:lvlJc w:val="left"/>
      <w:pPr>
        <w:ind w:left="380" w:hanging="3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3B54688"/>
    <w:multiLevelType w:val="hybridMultilevel"/>
    <w:tmpl w:val="DB609894"/>
    <w:lvl w:ilvl="0" w:tplc="33FE1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419241D"/>
    <w:multiLevelType w:val="hybridMultilevel"/>
    <w:tmpl w:val="22240AC2"/>
    <w:lvl w:ilvl="0" w:tplc="4D587F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5115B05"/>
    <w:multiLevelType w:val="hybridMultilevel"/>
    <w:tmpl w:val="75D6ED76"/>
    <w:lvl w:ilvl="0" w:tplc="B8788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658560C"/>
    <w:multiLevelType w:val="hybridMultilevel"/>
    <w:tmpl w:val="8C66976C"/>
    <w:lvl w:ilvl="0" w:tplc="AA2858C8">
      <w:start w:val="1"/>
      <w:numFmt w:val="decimal"/>
      <w:lvlText w:val="제%1조"/>
      <w:lvlJc w:val="left"/>
      <w:pPr>
        <w:ind w:left="527" w:hanging="420"/>
      </w:pPr>
      <w:rPr>
        <w:rFonts w:hint="eastAsia"/>
        <w:b/>
        <w:bCs/>
      </w:rPr>
    </w:lvl>
    <w:lvl w:ilvl="1" w:tplc="04090019" w:tentative="1">
      <w:start w:val="1"/>
      <w:numFmt w:val="lowerLetter"/>
      <w:lvlText w:val="%2)"/>
      <w:lvlJc w:val="left"/>
      <w:pPr>
        <w:ind w:left="947" w:hanging="420"/>
      </w:pPr>
    </w:lvl>
    <w:lvl w:ilvl="2" w:tplc="0409001B" w:tentative="1">
      <w:start w:val="1"/>
      <w:numFmt w:val="lowerRoman"/>
      <w:lvlText w:val="%3."/>
      <w:lvlJc w:val="right"/>
      <w:pPr>
        <w:ind w:left="1367" w:hanging="420"/>
      </w:pPr>
    </w:lvl>
    <w:lvl w:ilvl="3" w:tplc="0409000F" w:tentative="1">
      <w:start w:val="1"/>
      <w:numFmt w:val="decimal"/>
      <w:lvlText w:val="%4."/>
      <w:lvlJc w:val="left"/>
      <w:pPr>
        <w:ind w:left="1787" w:hanging="420"/>
      </w:pPr>
    </w:lvl>
    <w:lvl w:ilvl="4" w:tplc="04090019" w:tentative="1">
      <w:start w:val="1"/>
      <w:numFmt w:val="lowerLetter"/>
      <w:lvlText w:val="%5)"/>
      <w:lvlJc w:val="left"/>
      <w:pPr>
        <w:ind w:left="2207" w:hanging="420"/>
      </w:pPr>
    </w:lvl>
    <w:lvl w:ilvl="5" w:tplc="0409001B" w:tentative="1">
      <w:start w:val="1"/>
      <w:numFmt w:val="lowerRoman"/>
      <w:lvlText w:val="%6."/>
      <w:lvlJc w:val="right"/>
      <w:pPr>
        <w:ind w:left="2627" w:hanging="420"/>
      </w:pPr>
    </w:lvl>
    <w:lvl w:ilvl="6" w:tplc="0409000F" w:tentative="1">
      <w:start w:val="1"/>
      <w:numFmt w:val="decimal"/>
      <w:lvlText w:val="%7."/>
      <w:lvlJc w:val="left"/>
      <w:pPr>
        <w:ind w:left="3047" w:hanging="420"/>
      </w:pPr>
    </w:lvl>
    <w:lvl w:ilvl="7" w:tplc="04090019" w:tentative="1">
      <w:start w:val="1"/>
      <w:numFmt w:val="lowerLetter"/>
      <w:lvlText w:val="%8)"/>
      <w:lvlJc w:val="left"/>
      <w:pPr>
        <w:ind w:left="3467" w:hanging="420"/>
      </w:pPr>
    </w:lvl>
    <w:lvl w:ilvl="8" w:tplc="0409001B" w:tentative="1">
      <w:start w:val="1"/>
      <w:numFmt w:val="lowerRoman"/>
      <w:lvlText w:val="%9."/>
      <w:lvlJc w:val="right"/>
      <w:pPr>
        <w:ind w:left="3887" w:hanging="420"/>
      </w:pPr>
    </w:lvl>
  </w:abstractNum>
  <w:abstractNum w:abstractNumId="35">
    <w:nsid w:val="77166689"/>
    <w:multiLevelType w:val="hybridMultilevel"/>
    <w:tmpl w:val="2FF2D014"/>
    <w:lvl w:ilvl="0" w:tplc="BBDEC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F53622C"/>
    <w:multiLevelType w:val="hybridMultilevel"/>
    <w:tmpl w:val="6F101154"/>
    <w:lvl w:ilvl="0" w:tplc="84AC2B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F640007"/>
    <w:multiLevelType w:val="hybridMultilevel"/>
    <w:tmpl w:val="BB2632DA"/>
    <w:lvl w:ilvl="0" w:tplc="A8E85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6"/>
  </w:num>
  <w:num w:numId="3">
    <w:abstractNumId w:val="18"/>
  </w:num>
  <w:num w:numId="4">
    <w:abstractNumId w:val="24"/>
  </w:num>
  <w:num w:numId="5">
    <w:abstractNumId w:val="7"/>
  </w:num>
  <w:num w:numId="6">
    <w:abstractNumId w:val="14"/>
  </w:num>
  <w:num w:numId="7">
    <w:abstractNumId w:val="37"/>
  </w:num>
  <w:num w:numId="8">
    <w:abstractNumId w:val="25"/>
  </w:num>
  <w:num w:numId="9">
    <w:abstractNumId w:val="12"/>
  </w:num>
  <w:num w:numId="10">
    <w:abstractNumId w:val="22"/>
  </w:num>
  <w:num w:numId="11">
    <w:abstractNumId w:val="16"/>
  </w:num>
  <w:num w:numId="12">
    <w:abstractNumId w:val="5"/>
  </w:num>
  <w:num w:numId="13">
    <w:abstractNumId w:val="1"/>
  </w:num>
  <w:num w:numId="14">
    <w:abstractNumId w:val="11"/>
  </w:num>
  <w:num w:numId="15">
    <w:abstractNumId w:val="23"/>
  </w:num>
  <w:num w:numId="16">
    <w:abstractNumId w:val="8"/>
  </w:num>
  <w:num w:numId="17">
    <w:abstractNumId w:val="36"/>
  </w:num>
  <w:num w:numId="18">
    <w:abstractNumId w:val="21"/>
  </w:num>
  <w:num w:numId="19">
    <w:abstractNumId w:val="13"/>
  </w:num>
  <w:num w:numId="20">
    <w:abstractNumId w:val="35"/>
  </w:num>
  <w:num w:numId="21">
    <w:abstractNumId w:val="31"/>
  </w:num>
  <w:num w:numId="22">
    <w:abstractNumId w:val="10"/>
  </w:num>
  <w:num w:numId="23">
    <w:abstractNumId w:val="34"/>
  </w:num>
  <w:num w:numId="24">
    <w:abstractNumId w:val="30"/>
  </w:num>
  <w:num w:numId="25">
    <w:abstractNumId w:val="29"/>
  </w:num>
  <w:num w:numId="26">
    <w:abstractNumId w:val="15"/>
  </w:num>
  <w:num w:numId="27">
    <w:abstractNumId w:val="2"/>
  </w:num>
  <w:num w:numId="28">
    <w:abstractNumId w:val="0"/>
  </w:num>
  <w:num w:numId="29">
    <w:abstractNumId w:val="26"/>
  </w:num>
  <w:num w:numId="30">
    <w:abstractNumId w:val="33"/>
  </w:num>
  <w:num w:numId="31">
    <w:abstractNumId w:val="3"/>
  </w:num>
  <w:num w:numId="32">
    <w:abstractNumId w:val="4"/>
  </w:num>
  <w:num w:numId="33">
    <w:abstractNumId w:val="27"/>
  </w:num>
  <w:num w:numId="34">
    <w:abstractNumId w:val="17"/>
  </w:num>
  <w:num w:numId="35">
    <w:abstractNumId w:val="32"/>
  </w:num>
  <w:num w:numId="36">
    <w:abstractNumId w:val="20"/>
  </w:num>
  <w:num w:numId="37">
    <w:abstractNumId w:val="9"/>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6EE8"/>
    <w:rsid w:val="00055C6A"/>
    <w:rsid w:val="000659F8"/>
    <w:rsid w:val="00065F42"/>
    <w:rsid w:val="00091D9B"/>
    <w:rsid w:val="00093ED3"/>
    <w:rsid w:val="000969CD"/>
    <w:rsid w:val="000D115A"/>
    <w:rsid w:val="00100135"/>
    <w:rsid w:val="00112071"/>
    <w:rsid w:val="00135A6C"/>
    <w:rsid w:val="00140993"/>
    <w:rsid w:val="0016200D"/>
    <w:rsid w:val="00195BE9"/>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45D9"/>
    <w:rsid w:val="002E5535"/>
    <w:rsid w:val="002F6187"/>
    <w:rsid w:val="00305656"/>
    <w:rsid w:val="00315BCC"/>
    <w:rsid w:val="00355C69"/>
    <w:rsid w:val="00356E94"/>
    <w:rsid w:val="00357838"/>
    <w:rsid w:val="00373DA6"/>
    <w:rsid w:val="0037618A"/>
    <w:rsid w:val="003818EE"/>
    <w:rsid w:val="003A47B1"/>
    <w:rsid w:val="003C33E4"/>
    <w:rsid w:val="003C5455"/>
    <w:rsid w:val="003D3255"/>
    <w:rsid w:val="0042048E"/>
    <w:rsid w:val="00432A54"/>
    <w:rsid w:val="00444F1B"/>
    <w:rsid w:val="00450E11"/>
    <w:rsid w:val="00470D1E"/>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F5FEA"/>
    <w:rsid w:val="006053F2"/>
    <w:rsid w:val="00607C54"/>
    <w:rsid w:val="00610641"/>
    <w:rsid w:val="00615981"/>
    <w:rsid w:val="00615EC6"/>
    <w:rsid w:val="00627FF5"/>
    <w:rsid w:val="0063360D"/>
    <w:rsid w:val="00635DAE"/>
    <w:rsid w:val="006A1DED"/>
    <w:rsid w:val="006C28B6"/>
    <w:rsid w:val="006E2B22"/>
    <w:rsid w:val="006F037F"/>
    <w:rsid w:val="00712549"/>
    <w:rsid w:val="007428D2"/>
    <w:rsid w:val="00754EB6"/>
    <w:rsid w:val="00763D92"/>
    <w:rsid w:val="00793DEF"/>
    <w:rsid w:val="007A34FC"/>
    <w:rsid w:val="007B1D46"/>
    <w:rsid w:val="007B625E"/>
    <w:rsid w:val="007E358B"/>
    <w:rsid w:val="0080100B"/>
    <w:rsid w:val="008026B7"/>
    <w:rsid w:val="00820B40"/>
    <w:rsid w:val="00820E98"/>
    <w:rsid w:val="00827BB7"/>
    <w:rsid w:val="00844C62"/>
    <w:rsid w:val="00846ACB"/>
    <w:rsid w:val="00874D2F"/>
    <w:rsid w:val="00895A68"/>
    <w:rsid w:val="00896D67"/>
    <w:rsid w:val="008D50EF"/>
    <w:rsid w:val="008F1E71"/>
    <w:rsid w:val="009053B4"/>
    <w:rsid w:val="00907432"/>
    <w:rsid w:val="00913DA6"/>
    <w:rsid w:val="009274C0"/>
    <w:rsid w:val="00991600"/>
    <w:rsid w:val="009A478E"/>
    <w:rsid w:val="009A4BE1"/>
    <w:rsid w:val="009A6824"/>
    <w:rsid w:val="009B0986"/>
    <w:rsid w:val="009C24AE"/>
    <w:rsid w:val="009D3790"/>
    <w:rsid w:val="00A14377"/>
    <w:rsid w:val="00A14F38"/>
    <w:rsid w:val="00A17997"/>
    <w:rsid w:val="00A2090D"/>
    <w:rsid w:val="00A23A3D"/>
    <w:rsid w:val="00A25ACC"/>
    <w:rsid w:val="00A26F0D"/>
    <w:rsid w:val="00A32144"/>
    <w:rsid w:val="00A3711A"/>
    <w:rsid w:val="00A41C29"/>
    <w:rsid w:val="00A704C8"/>
    <w:rsid w:val="00A7085D"/>
    <w:rsid w:val="00A80DD8"/>
    <w:rsid w:val="00A849DB"/>
    <w:rsid w:val="00A945CB"/>
    <w:rsid w:val="00AA03A7"/>
    <w:rsid w:val="00AA3F7C"/>
    <w:rsid w:val="00AD2A3D"/>
    <w:rsid w:val="00AF07C7"/>
    <w:rsid w:val="00B02757"/>
    <w:rsid w:val="00B12443"/>
    <w:rsid w:val="00B1249E"/>
    <w:rsid w:val="00B17270"/>
    <w:rsid w:val="00B86A82"/>
    <w:rsid w:val="00B87E3D"/>
    <w:rsid w:val="00BB1357"/>
    <w:rsid w:val="00BB6FFC"/>
    <w:rsid w:val="00BC67B4"/>
    <w:rsid w:val="00BD2273"/>
    <w:rsid w:val="00C278F4"/>
    <w:rsid w:val="00C32E2B"/>
    <w:rsid w:val="00C331D8"/>
    <w:rsid w:val="00C52475"/>
    <w:rsid w:val="00C71FB9"/>
    <w:rsid w:val="00C810C6"/>
    <w:rsid w:val="00CA3724"/>
    <w:rsid w:val="00CC1207"/>
    <w:rsid w:val="00CC5D08"/>
    <w:rsid w:val="00CD4421"/>
    <w:rsid w:val="00CD5ACF"/>
    <w:rsid w:val="00D122A0"/>
    <w:rsid w:val="00D122B7"/>
    <w:rsid w:val="00D16B85"/>
    <w:rsid w:val="00D420AB"/>
    <w:rsid w:val="00D44DCD"/>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758D"/>
    <w:rsid w:val="00EE4CB9"/>
    <w:rsid w:val="00EF40DF"/>
    <w:rsid w:val="00F078AB"/>
    <w:rsid w:val="00F2748F"/>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29170">
      <w:bodyDiv w:val="1"/>
      <w:marLeft w:val="0"/>
      <w:marRight w:val="0"/>
      <w:marTop w:val="0"/>
      <w:marBottom w:val="0"/>
      <w:divBdr>
        <w:top w:val="none" w:sz="0" w:space="0" w:color="auto"/>
        <w:left w:val="none" w:sz="0" w:space="0" w:color="auto"/>
        <w:bottom w:val="none" w:sz="0" w:space="0" w:color="auto"/>
        <w:right w:val="none" w:sz="0" w:space="0" w:color="auto"/>
      </w:divBdr>
    </w:div>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BD1EA-47E1-4A87-B569-0CC4FB79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3</Pages>
  <Words>532</Words>
  <Characters>1944</Characters>
  <Application>Microsoft Office Word</Application>
  <DocSecurity>0</DocSecurity>
  <Lines>81</Lines>
  <Paragraphs>36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45</cp:revision>
  <dcterms:created xsi:type="dcterms:W3CDTF">2016-01-15T03:23:00Z</dcterms:created>
  <dcterms:modified xsi:type="dcterms:W3CDTF">2020-01-03T02:49:00Z</dcterms:modified>
</cp:coreProperties>
</file>