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DB5008" w:rsidTr="0070285D">
        <w:tc>
          <w:tcPr>
            <w:tcW w:w="4786" w:type="dxa"/>
          </w:tcPr>
          <w:p w:rsidR="0081103D" w:rsidRPr="0081103D" w:rsidRDefault="0081103D" w:rsidP="0081103D">
            <w:pPr>
              <w:widowControl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</w:pPr>
            <w:bookmarkStart w:id="0" w:name="_GoBack"/>
            <w:bookmarkEnd w:id="0"/>
            <w:r w:rsidRPr="0081103D">
              <w:rPr>
                <w:rFonts w:ascii="한컴바탕" w:eastAsia="한컴바탕" w:hAnsi="한컴바탕" w:cs="한컴바탕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국가발전개혁위원회</w:t>
            </w:r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</w:pPr>
            <w:r w:rsidRPr="0081103D">
              <w:rPr>
                <w:rFonts w:ascii="한컴바탕" w:eastAsia="한컴바탕" w:hAnsi="한컴바탕" w:cs="한컴바탕" w:hint="eastAsia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lang w:eastAsia="ko-KR"/>
              </w:rPr>
              <w:t>기업 전력사용 원가를 한시적 인하하여</w:t>
            </w:r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lang w:eastAsia="ko-KR"/>
              </w:rPr>
            </w:pPr>
            <w:r w:rsidRPr="0081103D">
              <w:rPr>
                <w:rFonts w:ascii="한컴바탕" w:eastAsia="한컴바탕" w:hAnsi="한컴바탕" w:cs="한컴바탕" w:hint="eastAsia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lang w:eastAsia="ko-KR"/>
              </w:rPr>
              <w:t>기업 업무재개를 지지하는 것에 대한 통지</w:t>
            </w:r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发改价格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〔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>2020〕258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号</w:t>
            </w:r>
          </w:p>
          <w:p w:rsid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> </w:t>
            </w:r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</w:p>
          <w:p w:rsid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각 성,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자치구,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 xml:space="preserve">직할시 및 </w:t>
            </w: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계획단독배정시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,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신강생산건설명단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 xml:space="preserve"> 발전개혁위원회,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국가전력망유한공사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,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남방전력망유한책임공사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,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내몽고전력(그룹)</w:t>
            </w:r>
            <w:proofErr w:type="gram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 xml:space="preserve">유한책임공사 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>:</w:t>
            </w:r>
            <w:proofErr w:type="gramEnd"/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000000" w:themeColor="text1"/>
                <w:spacing w:val="-8"/>
                <w:w w:val="90"/>
                <w:kern w:val="0"/>
                <w:szCs w:val="21"/>
                <w:lang w:eastAsia="ko-KR"/>
              </w:rPr>
            </w:pP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8"/>
                <w:w w:val="90"/>
                <w:kern w:val="0"/>
                <w:szCs w:val="21"/>
                <w:lang w:eastAsia="ko-KR"/>
              </w:rPr>
              <w:t>당중앙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8"/>
                <w:w w:val="90"/>
                <w:kern w:val="0"/>
                <w:szCs w:val="21"/>
                <w:lang w:eastAsia="ko-KR"/>
              </w:rPr>
              <w:t>,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spacing w:val="-8"/>
                <w:w w:val="90"/>
                <w:kern w:val="0"/>
                <w:szCs w:val="21"/>
                <w:lang w:eastAsia="ko-KR"/>
              </w:rPr>
              <w:t xml:space="preserve">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8"/>
                <w:w w:val="90"/>
                <w:kern w:val="0"/>
                <w:szCs w:val="21"/>
                <w:lang w:eastAsia="ko-KR"/>
              </w:rPr>
              <w:t>국무원의 업무배치를 관철하고 방역과 경제사회발전을 서로 돌보고 기업의 업무재개를 지지하여 어려운 고비를 넘기도록 하기 위해, 한시적으로 기업의 전력사용 원가를 줄이는 것과 관련하여 아래와 같이 통지한다.</w:t>
            </w:r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1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.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전기세 인하범위</w:t>
            </w:r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</w:pP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 xml:space="preserve">금번 전기세 인하범위는 에너지소모가 높은 업종의 기업은 제외하고, 현재 일반 </w:t>
            </w: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>공상업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 xml:space="preserve"> 및 기타 전기세,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 xml:space="preserve"> </w:t>
            </w: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>대공업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>(</w:t>
            </w: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>大工业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>)전기세를 집행하고 있는 전력 사용자에게 적용한다.</w:t>
            </w:r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2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.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전기세 인하조치</w:t>
            </w:r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</w:pP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w w:val="90"/>
                <w:kern w:val="0"/>
                <w:szCs w:val="21"/>
                <w:lang w:eastAsia="ko-KR"/>
              </w:rPr>
              <w:t>2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t>020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w w:val="90"/>
                <w:kern w:val="0"/>
                <w:szCs w:val="21"/>
                <w:lang w:eastAsia="ko-KR"/>
              </w:rPr>
              <w:t xml:space="preserve">년 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t>2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w w:val="90"/>
                <w:kern w:val="0"/>
                <w:szCs w:val="21"/>
                <w:lang w:eastAsia="ko-KR"/>
              </w:rPr>
              <w:t xml:space="preserve">월 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t>1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w w:val="90"/>
                <w:kern w:val="0"/>
                <w:szCs w:val="21"/>
                <w:lang w:eastAsia="ko-KR"/>
              </w:rPr>
              <w:t xml:space="preserve">일부터 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t>6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w w:val="90"/>
                <w:kern w:val="0"/>
                <w:szCs w:val="21"/>
                <w:lang w:eastAsia="ko-KR"/>
              </w:rPr>
              <w:t xml:space="preserve">월 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t>30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w w:val="90"/>
                <w:kern w:val="0"/>
                <w:szCs w:val="21"/>
                <w:lang w:eastAsia="ko-KR"/>
              </w:rPr>
              <w:t xml:space="preserve">일까지 </w:t>
            </w: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w w:val="90"/>
                <w:kern w:val="0"/>
                <w:szCs w:val="21"/>
                <w:lang w:eastAsia="ko-KR"/>
              </w:rPr>
              <w:t>전력망기업은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w w:val="90"/>
                <w:kern w:val="0"/>
                <w:szCs w:val="21"/>
                <w:lang w:eastAsia="ko-KR"/>
              </w:rPr>
              <w:t xml:space="preserve"> 상기 전력 사용자(이미 시장 거래에 참여한 사용자 포함)로부터 전기세를 수취 시 통일적으로 기존 사용자 전기세 수준의 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t>95%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w w:val="90"/>
                <w:kern w:val="0"/>
                <w:szCs w:val="21"/>
                <w:lang w:eastAsia="ko-KR"/>
              </w:rPr>
              <w:t>에 따라 결제한다.</w:t>
            </w:r>
          </w:p>
          <w:p w:rsid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</w:p>
          <w:p w:rsidR="00705F53" w:rsidRPr="00705F53" w:rsidRDefault="00705F53" w:rsidP="00705F53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 w:rsidRPr="00705F53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3. </w:t>
            </w:r>
            <w:proofErr w:type="spellStart"/>
            <w:r w:rsidRPr="00705F53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>지원성</w:t>
            </w:r>
            <w:proofErr w:type="spellEnd"/>
            <w:r w:rsidRPr="00705F53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 2부제(</w:t>
            </w:r>
            <w:proofErr w:type="spellStart"/>
            <w:r w:rsidRPr="00705F53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两部制</w:t>
            </w:r>
            <w:proofErr w:type="spellEnd"/>
            <w:r w:rsidRPr="00705F53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>) 전기요금 정책 집행기간을 한층 더 명확히 한다.</w:t>
            </w:r>
          </w:p>
          <w:p w:rsidR="0081103D" w:rsidRPr="00705F53" w:rsidRDefault="00705F53" w:rsidP="00705F53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ind w:firstLineChars="100" w:firstLine="189"/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</w:pPr>
            <w:r w:rsidRPr="00705F53"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t xml:space="preserve">2020년 2월 7일, 본 위원회에서 출범한 &lt;방역기간에 </w:t>
            </w:r>
            <w:proofErr w:type="spellStart"/>
            <w:r w:rsidRPr="00705F53"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t>지원성</w:t>
            </w:r>
            <w:proofErr w:type="spellEnd"/>
            <w:r w:rsidRPr="00705F53"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t xml:space="preserve"> 2부제(</w:t>
            </w:r>
            <w:proofErr w:type="spellStart"/>
            <w:r w:rsidRPr="00705F53">
              <w:rPr>
                <w:rFonts w:ascii="한컴바탕" w:eastAsia="한컴바탕" w:hAnsi="한컴바탕" w:cs="한컴바탕" w:hint="eastAsia"/>
                <w:color w:val="000000" w:themeColor="text1"/>
                <w:w w:val="90"/>
                <w:kern w:val="0"/>
                <w:szCs w:val="21"/>
                <w:lang w:eastAsia="ko-KR"/>
              </w:rPr>
              <w:t>两部制</w:t>
            </w:r>
            <w:proofErr w:type="spellEnd"/>
            <w:r w:rsidRPr="00705F53"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t>) 전기요금 정책</w:t>
            </w:r>
            <w:r w:rsidRPr="00705F53">
              <w:rPr>
                <w:rStyle w:val="ad"/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footnoteReference w:id="1"/>
            </w:r>
            <w:r w:rsidRPr="00705F53"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t>을 취</w:t>
            </w:r>
            <w:r w:rsidRPr="00705F53"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lastRenderedPageBreak/>
              <w:t>하여 기업의 전력사용 원가를 인하하는 것에 대한 통지&gt; 집행기간을 2020년 6월 30일까지 연기함을 한층 더 명확히 한다</w:t>
            </w:r>
            <w:r w:rsidRPr="00705F53">
              <w:rPr>
                <w:rFonts w:ascii="한컴바탕" w:eastAsia="한컴바탕" w:hAnsi="한컴바탕" w:cs="한컴바탕" w:hint="eastAsia"/>
                <w:color w:val="000000" w:themeColor="text1"/>
                <w:w w:val="90"/>
                <w:kern w:val="0"/>
                <w:szCs w:val="21"/>
                <w:lang w:eastAsia="ko-KR"/>
              </w:rPr>
              <w:t>.</w:t>
            </w:r>
            <w:r w:rsidRPr="00705F53">
              <w:rPr>
                <w:rFonts w:ascii="한컴바탕" w:eastAsia="한컴바탕" w:hAnsi="한컴바탕" w:cs="한컴바탕"/>
                <w:color w:val="000000" w:themeColor="text1"/>
                <w:w w:val="90"/>
                <w:kern w:val="0"/>
                <w:szCs w:val="21"/>
                <w:lang w:eastAsia="ko-KR"/>
              </w:rPr>
              <w:t xml:space="preserve"> </w:t>
            </w:r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</w:p>
          <w:p w:rsidR="0081103D" w:rsidRPr="0081103D" w:rsidRDefault="0081103D" w:rsidP="0081103D">
            <w:pPr>
              <w:widowControl/>
              <w:wordWrap w:val="0"/>
              <w:topLinePunct/>
              <w:adjustRightInd w:val="0"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4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.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업무요구</w:t>
            </w:r>
          </w:p>
          <w:p w:rsidR="0081103D" w:rsidRDefault="0081103D" w:rsidP="0081103D">
            <w:pPr>
              <w:widowControl/>
              <w:wordWrap w:val="0"/>
              <w:adjustRightInd w:val="0"/>
              <w:snapToGrid w:val="0"/>
              <w:spacing w:line="360" w:lineRule="auto"/>
              <w:ind w:firstLineChars="200" w:firstLine="420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(1)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 xml:space="preserve">각 지역 가격주관부서는 현지 상황에 결부시켜 </w:t>
            </w: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>전력망기업에서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 xml:space="preserve"> 정책을 잘 관철하도록 지도하고 추적 관리를 철저히 해야 하며,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 xml:space="preserve">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>정책 집행 중에 나타난 구체적 문제를 적시에 해결함으로써 정책이 확실하게 집행되도록 보장해야 한다.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 xml:space="preserve">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>아울러 각종 형식을 취해 적극적으로 홍보하고 한시적으로 기업의 전력사용 원가를 줄이는 정책을 정확하게 설명하여 기업들에서 신심을 갖도록 해야 한다.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</w:p>
          <w:p w:rsidR="0081103D" w:rsidRPr="0081103D" w:rsidRDefault="0081103D" w:rsidP="0081103D">
            <w:pPr>
              <w:widowControl/>
              <w:wordWrap w:val="0"/>
              <w:adjustRightInd w:val="0"/>
              <w:snapToGrid w:val="0"/>
              <w:spacing w:line="360" w:lineRule="auto"/>
              <w:ind w:firstLineChars="200" w:firstLine="420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</w:p>
          <w:p w:rsidR="0081103D" w:rsidRPr="0081103D" w:rsidRDefault="0081103D" w:rsidP="0081103D">
            <w:pPr>
              <w:widowControl/>
              <w:wordWrap w:val="0"/>
              <w:adjustRightInd w:val="0"/>
              <w:snapToGrid w:val="0"/>
              <w:spacing w:line="360" w:lineRule="auto"/>
              <w:ind w:firstLineChars="200" w:firstLine="420"/>
              <w:rPr>
                <w:rFonts w:ascii="한컴바탕" w:eastAsia="한컴바탕" w:hAnsi="한컴바탕" w:cs="한컴바탕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</w:pP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(2)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  <w:t xml:space="preserve">각 지역 가격주관부서는 현지 시장감독관리부서와 적극적으로 협력하여 </w:t>
            </w: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  <w:t>상업종합체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  <w:t>,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  <w:t xml:space="preserve">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  <w:t>산업단지,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  <w:t xml:space="preserve">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  <w:t>오피스 등의 간접공전(</w:t>
            </w: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  <w:t>转供电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  <w:t>)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  <w:t xml:space="preserve">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  <w:t xml:space="preserve">단계의 요금행위에 대한 감독관리를 강화하여 전기세 인하 혜택이 최종 사용자에게 전달되도록 보장함으로써 기업에서 </w:t>
            </w: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  <w:t>취득감을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2"/>
                <w:w w:val="90"/>
                <w:kern w:val="0"/>
                <w:szCs w:val="21"/>
                <w:lang w:eastAsia="ko-KR"/>
              </w:rPr>
              <w:t xml:space="preserve"> 느끼도록 해야 한다.</w:t>
            </w:r>
          </w:p>
          <w:p w:rsidR="0081103D" w:rsidRPr="0081103D" w:rsidRDefault="0081103D" w:rsidP="0081103D">
            <w:pPr>
              <w:widowControl/>
              <w:wordWrap w:val="0"/>
              <w:adjustRightInd w:val="0"/>
              <w:snapToGrid w:val="0"/>
              <w:spacing w:line="360" w:lineRule="auto"/>
              <w:ind w:firstLineChars="200" w:firstLine="420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</w:p>
          <w:p w:rsidR="0081103D" w:rsidRPr="0081103D" w:rsidRDefault="0081103D" w:rsidP="0081103D">
            <w:pPr>
              <w:widowControl/>
              <w:wordWrap w:val="0"/>
              <w:adjustRightInd w:val="0"/>
              <w:snapToGrid w:val="0"/>
              <w:spacing w:line="360" w:lineRule="auto"/>
              <w:ind w:firstLineChars="200" w:firstLine="420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 xml:space="preserve">(3) </w:t>
            </w:r>
            <w:proofErr w:type="spellStart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>전력망기업은</w:t>
            </w:r>
            <w:proofErr w:type="spellEnd"/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 xml:space="preserve"> 자발적으로 전력 사용자에게 정책홍보를 실시하고 전기세 인하범위에 해당되는 사용자를 명확히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 xml:space="preserve">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>파악해야 하며,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 xml:space="preserve"> 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spacing w:val="-10"/>
                <w:w w:val="90"/>
                <w:kern w:val="0"/>
                <w:szCs w:val="21"/>
                <w:lang w:eastAsia="ko-KR"/>
              </w:rPr>
              <w:t>정책집행 중에서의 시간 소급문제를 적절하게 처리하여 정책이 빨리 집행되도록 보장해야 한다.</w:t>
            </w:r>
          </w:p>
          <w:p w:rsidR="0081103D" w:rsidRPr="0081103D" w:rsidRDefault="0081103D" w:rsidP="0081103D">
            <w:pPr>
              <w:widowControl/>
              <w:wordWrap w:val="0"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</w:p>
          <w:p w:rsidR="0081103D" w:rsidRPr="0081103D" w:rsidRDefault="0081103D" w:rsidP="0081103D">
            <w:pPr>
              <w:widowControl/>
              <w:wordWrap w:val="0"/>
              <w:adjustRightInd w:val="0"/>
              <w:snapToGrid w:val="0"/>
              <w:spacing w:line="360" w:lineRule="auto"/>
              <w:ind w:firstLineChars="200" w:firstLine="420"/>
              <w:jc w:val="right"/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</w:pP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국가발전개혁위원회</w:t>
            </w:r>
          </w:p>
          <w:p w:rsidR="00DB5008" w:rsidRPr="0081103D" w:rsidRDefault="0081103D" w:rsidP="0081103D">
            <w:pPr>
              <w:widowControl/>
              <w:wordWrap w:val="0"/>
              <w:adjustRightInd w:val="0"/>
              <w:snapToGrid w:val="0"/>
              <w:spacing w:line="360" w:lineRule="auto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>2020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 xml:space="preserve">년 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>2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 xml:space="preserve">월 </w:t>
            </w:r>
            <w:r w:rsidRPr="0081103D">
              <w:rPr>
                <w:rFonts w:ascii="한컴바탕" w:eastAsia="한컴바탕" w:hAnsi="한컴바탕" w:cs="한컴바탕"/>
                <w:color w:val="000000" w:themeColor="text1"/>
                <w:kern w:val="0"/>
                <w:szCs w:val="21"/>
                <w:lang w:eastAsia="ko-KR"/>
              </w:rPr>
              <w:t>22</w:t>
            </w:r>
            <w:r w:rsidRPr="0081103D">
              <w:rPr>
                <w:rFonts w:ascii="한컴바탕" w:eastAsia="한컴바탕" w:hAnsi="한컴바탕" w:cs="한컴바탕" w:hint="eastAsia"/>
                <w:color w:val="000000" w:themeColor="text1"/>
                <w:kern w:val="0"/>
                <w:szCs w:val="21"/>
                <w:lang w:eastAsia="ko-KR"/>
              </w:rPr>
              <w:t>일</w:t>
            </w:r>
          </w:p>
        </w:tc>
        <w:tc>
          <w:tcPr>
            <w:tcW w:w="538" w:type="dxa"/>
          </w:tcPr>
          <w:p w:rsidR="00DB5008" w:rsidRPr="006374BC" w:rsidRDefault="00DB5008" w:rsidP="00DB5008">
            <w:pPr>
              <w:wordWrap w:val="0"/>
              <w:spacing w:line="290" w:lineRule="atLeas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81103D" w:rsidRPr="0081103D" w:rsidRDefault="0081103D" w:rsidP="0081103D">
            <w:pPr>
              <w:widowControl/>
              <w:spacing w:line="312" w:lineRule="auto"/>
              <w:jc w:val="center"/>
              <w:rPr>
                <w:rFonts w:ascii="SimSun" w:eastAsia="SimSun" w:hAnsi="SimSun" w:cs="SimSu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1103D">
              <w:rPr>
                <w:rFonts w:ascii="SimSun" w:eastAsia="SimSun" w:hAnsi="SimSun" w:cs="SimSun"/>
                <w:b/>
                <w:bCs/>
                <w:color w:val="000000" w:themeColor="text1"/>
                <w:kern w:val="0"/>
                <w:sz w:val="20"/>
                <w:szCs w:val="20"/>
              </w:rPr>
              <w:t>国家发展改革委</w:t>
            </w:r>
          </w:p>
          <w:p w:rsidR="0081103D" w:rsidRPr="0081103D" w:rsidRDefault="0081103D" w:rsidP="0081103D">
            <w:pPr>
              <w:widowControl/>
              <w:spacing w:line="312" w:lineRule="auto"/>
              <w:jc w:val="center"/>
              <w:rPr>
                <w:rFonts w:ascii="SimSun" w:eastAsia="SimSun" w:hAnsi="SimSun" w:cs="SimSun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81103D">
              <w:rPr>
                <w:rFonts w:ascii="SimSun" w:eastAsia="SimSun" w:hAnsi="SimSun" w:cs="SimSun"/>
                <w:b/>
                <w:bCs/>
                <w:color w:val="000000" w:themeColor="text1"/>
                <w:kern w:val="0"/>
                <w:sz w:val="26"/>
                <w:szCs w:val="26"/>
              </w:rPr>
              <w:t>关于阶段性降低企业用电成本支持企业复工复产的通知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 w:val="26"/>
                <w:szCs w:val="26"/>
              </w:rPr>
              <w:t> </w:t>
            </w:r>
          </w:p>
          <w:p w:rsidR="0081103D" w:rsidRPr="0081103D" w:rsidRDefault="0081103D" w:rsidP="0081103D">
            <w:pPr>
              <w:widowControl/>
              <w:spacing w:line="312" w:lineRule="auto"/>
              <w:jc w:val="center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发改价格〔2020〕258号</w:t>
            </w:r>
          </w:p>
          <w:p w:rsidR="0081103D" w:rsidRPr="0081103D" w:rsidRDefault="0081103D" w:rsidP="0081103D">
            <w:pPr>
              <w:widowControl/>
              <w:spacing w:line="360" w:lineRule="auto"/>
              <w:jc w:val="left"/>
              <w:rPr>
                <w:rFonts w:ascii="SimSun" w:hAnsi="SimSun" w:cs="SimSun"/>
                <w:color w:val="000000" w:themeColor="text1"/>
                <w:kern w:val="0"/>
                <w:szCs w:val="21"/>
              </w:rPr>
            </w:pPr>
          </w:p>
          <w:p w:rsidR="0081103D" w:rsidRPr="0081103D" w:rsidRDefault="0081103D" w:rsidP="0081103D">
            <w:pPr>
              <w:widowControl/>
              <w:spacing w:line="360" w:lineRule="auto"/>
              <w:jc w:val="lef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</w:p>
          <w:p w:rsidR="0081103D" w:rsidRDefault="0081103D" w:rsidP="0081103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SimSun" w:hAnsi="SimSun" w:cs="SimSun"/>
                <w:color w:val="000000" w:themeColor="text1"/>
                <w:kern w:val="0"/>
                <w:szCs w:val="21"/>
              </w:rPr>
            </w:pP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各省、自治区、直辖市及计划单列市、新疆生产建设兵团发展改革委，国家电网有限公司、南方电网有限责任公司、内蒙古电力（集团）有限责任公司：</w:t>
            </w:r>
          </w:p>
          <w:p w:rsidR="0081103D" w:rsidRDefault="0081103D" w:rsidP="0081103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SimSun" w:hAnsi="SimSun" w:cs="SimSun"/>
                <w:color w:val="000000" w:themeColor="text1"/>
                <w:kern w:val="0"/>
                <w:szCs w:val="21"/>
              </w:rPr>
            </w:pP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br/>
              <w:t>为贯彻落实党中央、国务院决策部署，统筹疫情防控与经济社会发展，支持企业复工复产、共渡难关，现就阶段性降低企业用电成本有关事项通知如下。</w:t>
            </w:r>
          </w:p>
          <w:p w:rsidR="0081103D" w:rsidRDefault="0081103D" w:rsidP="0081103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SimSun" w:hAnsi="SimSun" w:cs="SimSun"/>
                <w:color w:val="000000" w:themeColor="text1"/>
                <w:kern w:val="0"/>
                <w:szCs w:val="21"/>
              </w:rPr>
            </w:pP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br/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 xml:space="preserve">  </w:t>
            </w:r>
            <w:r w:rsidRPr="0081103D">
              <w:rPr>
                <w:rFonts w:ascii="SimSun" w:eastAsia="SimSun" w:hAnsi="SimSun" w:cs="SimSun"/>
                <w:b/>
                <w:bCs/>
                <w:color w:val="000000" w:themeColor="text1"/>
                <w:kern w:val="0"/>
                <w:szCs w:val="21"/>
              </w:rPr>
              <w:t>一、降价范围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br/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 xml:space="preserve">  此次降电价范围为除高耗能行业用户外的，现执行一般工商业及其它电价、大工业电价的电力用户。</w:t>
            </w:r>
          </w:p>
          <w:p w:rsidR="0081103D" w:rsidRDefault="0081103D" w:rsidP="0081103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SimSun" w:hAnsi="SimSun" w:cs="SimSun"/>
                <w:color w:val="000000" w:themeColor="text1"/>
                <w:kern w:val="0"/>
                <w:szCs w:val="21"/>
              </w:rPr>
            </w:pP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br/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 xml:space="preserve">  </w:t>
            </w:r>
            <w:r w:rsidRPr="0081103D">
              <w:rPr>
                <w:rFonts w:ascii="SimSun" w:eastAsia="SimSun" w:hAnsi="SimSun" w:cs="SimSun"/>
                <w:b/>
                <w:bCs/>
                <w:color w:val="000000" w:themeColor="text1"/>
                <w:kern w:val="0"/>
                <w:szCs w:val="21"/>
              </w:rPr>
              <w:t>二、降价措施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br/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 xml:space="preserve">  自2020年2月1日起至6月30日止，电网企业在计收上述电力用户（含已参与市场交易用户）电费时，统一按原到户电价水平的95%结算。</w:t>
            </w:r>
          </w:p>
          <w:p w:rsidR="0081103D" w:rsidRDefault="0081103D" w:rsidP="0081103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SimSun" w:hAnsi="SimSun" w:cs="SimSun"/>
                <w:color w:val="000000" w:themeColor="text1"/>
                <w:kern w:val="0"/>
                <w:szCs w:val="21"/>
              </w:rPr>
            </w:pP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br/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b/>
                <w:bCs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b/>
                <w:bCs/>
                <w:color w:val="000000" w:themeColor="text1"/>
                <w:kern w:val="0"/>
                <w:szCs w:val="21"/>
              </w:rPr>
              <w:t xml:space="preserve">  三、进一步明确支持性两部制电价政策执行时间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br/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 xml:space="preserve">  2020年2月7日，我委出台的《关于疫情防控期间采取支持性两部制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lastRenderedPageBreak/>
              <w:t>电价政策 降低企业用电成本的通知》（发改办价格〔2020〕110号），进一步明确执行至2020年6月30日。</w:t>
            </w:r>
          </w:p>
          <w:p w:rsidR="0081103D" w:rsidRDefault="0081103D" w:rsidP="0081103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SimSun" w:hAnsi="SimSun" w:cs="SimSun"/>
                <w:color w:val="000000" w:themeColor="text1"/>
                <w:kern w:val="0"/>
                <w:szCs w:val="21"/>
              </w:rPr>
            </w:pP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br/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 xml:space="preserve">  </w:t>
            </w:r>
            <w:r w:rsidRPr="0081103D">
              <w:rPr>
                <w:rFonts w:ascii="SimSun" w:eastAsia="SimSun" w:hAnsi="SimSun" w:cs="SimSun"/>
                <w:b/>
                <w:bCs/>
                <w:color w:val="000000" w:themeColor="text1"/>
                <w:kern w:val="0"/>
                <w:szCs w:val="21"/>
              </w:rPr>
              <w:t>四、工作要求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br/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 xml:space="preserve">  （一）各地价格主管部门要高度重视，结合当地情况，指导电网企业切实抓好政策落实，加强跟踪调度，及时发现解决政策落实中出现的具体问题，确保政策平稳实施。同时，要采取多种形式积极宣传、准确解读阶段性降低企业用电成本政策，增强企业信心。</w:t>
            </w:r>
          </w:p>
          <w:p w:rsidR="0081103D" w:rsidRDefault="0081103D" w:rsidP="0081103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SimSun" w:hAnsi="SimSun" w:cs="SimSun"/>
                <w:color w:val="000000" w:themeColor="text1"/>
                <w:kern w:val="0"/>
                <w:szCs w:val="21"/>
              </w:rPr>
            </w:pP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br/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 xml:space="preserve">  （二）</w:t>
            </w:r>
            <w:r w:rsidRPr="0081103D">
              <w:rPr>
                <w:rFonts w:ascii="SimSun" w:eastAsia="SimSun" w:hAnsi="SimSun" w:cs="SimSun"/>
                <w:color w:val="000000" w:themeColor="text1"/>
                <w:spacing w:val="-4"/>
                <w:kern w:val="0"/>
                <w:szCs w:val="21"/>
              </w:rPr>
              <w:t>各地价格主管部门要积极配合当地市场监管部门，切实加强商业综合体、产业园区、写字楼等转供电环节收费行为监管，确保降电价红利及时足额传导到终端用户，增加企业获得感。</w:t>
            </w:r>
          </w:p>
          <w:p w:rsidR="0081103D" w:rsidRPr="0081103D" w:rsidRDefault="0081103D" w:rsidP="0081103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br/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 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 xml:space="preserve">  （三）电网企业要积极主动向用户做好政策宣传告知，明确降价范围对应的用户，妥善做好政策执行时间追溯，尽快将政策执行到位。</w:t>
            </w: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br/>
            </w:r>
          </w:p>
          <w:p w:rsidR="0081103D" w:rsidRPr="0081103D" w:rsidRDefault="0081103D" w:rsidP="0081103D">
            <w:pPr>
              <w:widowControl/>
              <w:spacing w:line="360" w:lineRule="auto"/>
              <w:jc w:val="right"/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</w:pP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国家发展改革委</w:t>
            </w:r>
          </w:p>
          <w:p w:rsidR="00DB5008" w:rsidRPr="006374BC" w:rsidRDefault="0081103D" w:rsidP="0081103D">
            <w:pPr>
              <w:widowControl/>
              <w:spacing w:line="360" w:lineRule="auto"/>
              <w:jc w:val="right"/>
              <w:rPr>
                <w:szCs w:val="21"/>
              </w:rPr>
            </w:pPr>
            <w:r w:rsidRPr="0081103D">
              <w:rPr>
                <w:rFonts w:ascii="SimSun" w:eastAsia="SimSun" w:hAnsi="SimSun" w:cs="SimSun"/>
                <w:color w:val="000000" w:themeColor="text1"/>
                <w:kern w:val="0"/>
                <w:szCs w:val="21"/>
              </w:rPr>
              <w:t>2020年2月22日</w:t>
            </w:r>
          </w:p>
        </w:tc>
      </w:tr>
    </w:tbl>
    <w:p w:rsidR="00100135" w:rsidRPr="009A478E" w:rsidRDefault="00100135"/>
    <w:sectPr w:rsidR="00100135" w:rsidRPr="009A478E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05" w:rsidRDefault="00065D05" w:rsidP="00C278F4">
      <w:r>
        <w:separator/>
      </w:r>
    </w:p>
  </w:endnote>
  <w:endnote w:type="continuationSeparator" w:id="0">
    <w:p w:rsidR="00065D05" w:rsidRDefault="00065D05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05" w:rsidRDefault="00065D05" w:rsidP="00C278F4">
      <w:r>
        <w:separator/>
      </w:r>
    </w:p>
  </w:footnote>
  <w:footnote w:type="continuationSeparator" w:id="0">
    <w:p w:rsidR="00065D05" w:rsidRDefault="00065D05" w:rsidP="00C278F4">
      <w:r>
        <w:continuationSeparator/>
      </w:r>
    </w:p>
  </w:footnote>
  <w:footnote w:id="1">
    <w:p w:rsidR="00705F53" w:rsidRPr="00705F53" w:rsidRDefault="00705F53">
      <w:pPr>
        <w:pStyle w:val="ac"/>
        <w:rPr>
          <w:rFonts w:ascii="한컴바탕" w:eastAsia="한컴바탕" w:hAnsi="한컴바탕" w:cs="한컴바탕" w:hint="eastAsia"/>
          <w:sz w:val="18"/>
          <w:lang w:eastAsia="ko-KR"/>
        </w:rPr>
      </w:pPr>
      <w:r w:rsidRPr="00705F53">
        <w:rPr>
          <w:rStyle w:val="ad"/>
          <w:rFonts w:ascii="한컴바탕" w:eastAsia="한컴바탕" w:hAnsi="한컴바탕" w:cs="한컴바탕"/>
          <w:sz w:val="18"/>
        </w:rPr>
        <w:footnoteRef/>
      </w:r>
      <w:r w:rsidRPr="00705F53">
        <w:rPr>
          <w:rFonts w:ascii="한컴바탕" w:eastAsia="한컴바탕" w:hAnsi="한컴바탕" w:cs="한컴바탕"/>
          <w:sz w:val="18"/>
          <w:lang w:eastAsia="ko-KR"/>
        </w:rPr>
        <w:t xml:space="preserve"> </w:t>
      </w:r>
      <w:r w:rsidRPr="00705F53">
        <w:rPr>
          <w:rFonts w:ascii="한컴바탕" w:eastAsia="한컴바탕" w:hAnsi="한컴바탕" w:cs="한컴바탕" w:hint="eastAsia"/>
          <w:color w:val="000000" w:themeColor="text1"/>
          <w:kern w:val="0"/>
          <w:sz w:val="16"/>
          <w:szCs w:val="21"/>
          <w:lang w:eastAsia="ko-KR"/>
        </w:rPr>
        <w:t>2부제(</w:t>
      </w:r>
      <w:proofErr w:type="spellStart"/>
      <w:r w:rsidRPr="00705F53">
        <w:rPr>
          <w:rFonts w:ascii="한컴바탕" w:eastAsia="한컴바탕" w:hAnsi="한컴바탕" w:cs="한컴바탕" w:hint="eastAsia"/>
          <w:color w:val="000000" w:themeColor="text1"/>
          <w:kern w:val="0"/>
          <w:sz w:val="16"/>
          <w:szCs w:val="21"/>
          <w:lang w:eastAsia="ko-KR"/>
        </w:rPr>
        <w:t>两部制</w:t>
      </w:r>
      <w:proofErr w:type="spellEnd"/>
      <w:r w:rsidRPr="00705F53">
        <w:rPr>
          <w:rFonts w:ascii="한컴바탕" w:eastAsia="한컴바탕" w:hAnsi="한컴바탕" w:cs="한컴바탕"/>
          <w:color w:val="000000" w:themeColor="text1"/>
          <w:kern w:val="0"/>
          <w:sz w:val="16"/>
          <w:szCs w:val="21"/>
          <w:lang w:eastAsia="ko-KR"/>
        </w:rPr>
        <w:t xml:space="preserve">) </w:t>
      </w:r>
      <w:r w:rsidRPr="00705F53">
        <w:rPr>
          <w:rFonts w:ascii="한컴바탕" w:eastAsia="한컴바탕" w:hAnsi="한컴바탕" w:cs="한컴바탕" w:hint="eastAsia"/>
          <w:color w:val="000000" w:themeColor="text1"/>
          <w:kern w:val="0"/>
          <w:sz w:val="16"/>
          <w:szCs w:val="21"/>
          <w:lang w:eastAsia="ko-KR"/>
        </w:rPr>
        <w:t xml:space="preserve">전기요금 </w:t>
      </w:r>
      <w:proofErr w:type="gramStart"/>
      <w:r w:rsidRPr="00705F53">
        <w:rPr>
          <w:rFonts w:ascii="한컴바탕" w:eastAsia="한컴바탕" w:hAnsi="한컴바탕" w:cs="한컴바탕" w:hint="eastAsia"/>
          <w:color w:val="000000" w:themeColor="text1"/>
          <w:kern w:val="0"/>
          <w:sz w:val="16"/>
          <w:szCs w:val="21"/>
          <w:lang w:eastAsia="ko-KR"/>
        </w:rPr>
        <w:t xml:space="preserve">정책 </w:t>
      </w:r>
      <w:r w:rsidRPr="00705F53">
        <w:rPr>
          <w:rFonts w:ascii="한컴바탕" w:eastAsia="한컴바탕" w:hAnsi="한컴바탕" w:cs="한컴바탕"/>
          <w:color w:val="000000" w:themeColor="text1"/>
          <w:kern w:val="0"/>
          <w:sz w:val="16"/>
          <w:szCs w:val="21"/>
          <w:lang w:eastAsia="ko-KR"/>
        </w:rPr>
        <w:t>:</w:t>
      </w:r>
      <w:proofErr w:type="gramEnd"/>
      <w:r w:rsidRPr="00705F53">
        <w:rPr>
          <w:rFonts w:ascii="한컴바탕" w:eastAsia="한컴바탕" w:hAnsi="한컴바탕" w:cs="한컴바탕"/>
          <w:color w:val="000000" w:themeColor="text1"/>
          <w:kern w:val="0"/>
          <w:sz w:val="16"/>
          <w:szCs w:val="21"/>
          <w:lang w:eastAsia="ko-KR"/>
        </w:rPr>
        <w:t xml:space="preserve"> </w:t>
      </w:r>
      <w:r w:rsidRPr="00705F53">
        <w:rPr>
          <w:rFonts w:ascii="한컴바탕" w:eastAsia="한컴바탕" w:hAnsi="한컴바탕" w:cs="한컴바탕" w:hint="eastAsia"/>
          <w:color w:val="000000" w:themeColor="text1"/>
          <w:spacing w:val="-6"/>
          <w:w w:val="90"/>
          <w:kern w:val="0"/>
          <w:sz w:val="16"/>
          <w:szCs w:val="21"/>
          <w:lang w:eastAsia="ko-KR"/>
        </w:rPr>
        <w:t>용량으로 계산하는 기본 전기요금과 사용량으로 계산하는 전기요금을 결부시켜 전기요금을 결정하는 제도.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DD4F14"/>
    <w:multiLevelType w:val="hybridMultilevel"/>
    <w:tmpl w:val="8020C9B2"/>
    <w:lvl w:ilvl="0" w:tplc="75141336">
      <w:numFmt w:val="bullet"/>
      <w:lvlText w:val="-"/>
      <w:lvlJc w:val="left"/>
      <w:pPr>
        <w:ind w:left="760" w:hanging="360"/>
      </w:pPr>
      <w:rPr>
        <w:rFonts w:ascii="한컴바탕" w:eastAsia="한컴바탕" w:hAnsi="한컴바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6115DD"/>
    <w:multiLevelType w:val="hybridMultilevel"/>
    <w:tmpl w:val="133E8924"/>
    <w:lvl w:ilvl="0" w:tplc="0BF2A276">
      <w:numFmt w:val="bullet"/>
      <w:lvlText w:val="-"/>
      <w:lvlJc w:val="left"/>
      <w:pPr>
        <w:ind w:left="7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11"/>
  </w:num>
  <w:num w:numId="15">
    <w:abstractNumId w:val="15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55C6A"/>
    <w:rsid w:val="000659F8"/>
    <w:rsid w:val="00065D05"/>
    <w:rsid w:val="00065F42"/>
    <w:rsid w:val="00091D9B"/>
    <w:rsid w:val="00093ED3"/>
    <w:rsid w:val="000969CD"/>
    <w:rsid w:val="000D115A"/>
    <w:rsid w:val="000D70E7"/>
    <w:rsid w:val="00100135"/>
    <w:rsid w:val="00112071"/>
    <w:rsid w:val="00135A6C"/>
    <w:rsid w:val="00140993"/>
    <w:rsid w:val="0015136D"/>
    <w:rsid w:val="0016200D"/>
    <w:rsid w:val="00166522"/>
    <w:rsid w:val="00195BE9"/>
    <w:rsid w:val="001A2B88"/>
    <w:rsid w:val="001A612D"/>
    <w:rsid w:val="001D31E0"/>
    <w:rsid w:val="001F2DDE"/>
    <w:rsid w:val="001F4507"/>
    <w:rsid w:val="002004A8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2048E"/>
    <w:rsid w:val="00432A54"/>
    <w:rsid w:val="00444F1B"/>
    <w:rsid w:val="00450E11"/>
    <w:rsid w:val="00470C94"/>
    <w:rsid w:val="00470D1E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007D"/>
    <w:rsid w:val="00591B19"/>
    <w:rsid w:val="005A3DA9"/>
    <w:rsid w:val="005A6C25"/>
    <w:rsid w:val="005B050F"/>
    <w:rsid w:val="005E0602"/>
    <w:rsid w:val="005E5152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374BC"/>
    <w:rsid w:val="00644877"/>
    <w:rsid w:val="00662BB7"/>
    <w:rsid w:val="00663C62"/>
    <w:rsid w:val="00675B6A"/>
    <w:rsid w:val="006843DF"/>
    <w:rsid w:val="006A1DED"/>
    <w:rsid w:val="006C28B6"/>
    <w:rsid w:val="006E2B22"/>
    <w:rsid w:val="006F037F"/>
    <w:rsid w:val="0070285D"/>
    <w:rsid w:val="00705F53"/>
    <w:rsid w:val="00712549"/>
    <w:rsid w:val="00725B68"/>
    <w:rsid w:val="007428D2"/>
    <w:rsid w:val="00754EB6"/>
    <w:rsid w:val="00761F24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1103D"/>
    <w:rsid w:val="00820B40"/>
    <w:rsid w:val="00820E98"/>
    <w:rsid w:val="00827BB7"/>
    <w:rsid w:val="00844C62"/>
    <w:rsid w:val="00846ACB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46790"/>
    <w:rsid w:val="00991600"/>
    <w:rsid w:val="009A478E"/>
    <w:rsid w:val="009A4BE1"/>
    <w:rsid w:val="009A6824"/>
    <w:rsid w:val="009B0986"/>
    <w:rsid w:val="009C24AE"/>
    <w:rsid w:val="009D3790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80DD8"/>
    <w:rsid w:val="00A849DB"/>
    <w:rsid w:val="00A945CB"/>
    <w:rsid w:val="00AA03A7"/>
    <w:rsid w:val="00AA3F7C"/>
    <w:rsid w:val="00AD2A3D"/>
    <w:rsid w:val="00AD5ACF"/>
    <w:rsid w:val="00AF07C7"/>
    <w:rsid w:val="00B02757"/>
    <w:rsid w:val="00B12443"/>
    <w:rsid w:val="00B1249E"/>
    <w:rsid w:val="00B17270"/>
    <w:rsid w:val="00B86A82"/>
    <w:rsid w:val="00B87E3D"/>
    <w:rsid w:val="00B96E54"/>
    <w:rsid w:val="00BA0053"/>
    <w:rsid w:val="00BA7173"/>
    <w:rsid w:val="00BB1357"/>
    <w:rsid w:val="00BB6FFC"/>
    <w:rsid w:val="00BC67B4"/>
    <w:rsid w:val="00BD2273"/>
    <w:rsid w:val="00C278F4"/>
    <w:rsid w:val="00C32E2B"/>
    <w:rsid w:val="00C331D8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6B85"/>
    <w:rsid w:val="00D20DB7"/>
    <w:rsid w:val="00D420AB"/>
    <w:rsid w:val="00D44DCD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758D"/>
    <w:rsid w:val="00EE4CB9"/>
    <w:rsid w:val="00F01C22"/>
    <w:rsid w:val="00F078AB"/>
    <w:rsid w:val="00F32227"/>
    <w:rsid w:val="00F6633C"/>
    <w:rsid w:val="00F74269"/>
    <w:rsid w:val="00F77275"/>
    <w:rsid w:val="00F83BC3"/>
    <w:rsid w:val="00F916FD"/>
    <w:rsid w:val="00F959A8"/>
    <w:rsid w:val="00FA333E"/>
    <w:rsid w:val="00FA3D01"/>
    <w:rsid w:val="00FA547E"/>
    <w:rsid w:val="00FB2151"/>
    <w:rsid w:val="00FC394E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705F53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705F53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705F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4653-F041-4965-AE8B-E207A5D3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58</cp:revision>
  <dcterms:created xsi:type="dcterms:W3CDTF">2016-01-15T03:23:00Z</dcterms:created>
  <dcterms:modified xsi:type="dcterms:W3CDTF">2020-02-24T05:13:00Z</dcterms:modified>
</cp:coreProperties>
</file>