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bookmarkStart w:id="0" w:name="_GoBack"/>
            <w:r w:rsidRPr="00286136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기업</w:t>
            </w:r>
            <w:r w:rsidRPr="00286136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286136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단위별</w:t>
            </w:r>
            <w:proofErr w:type="spellEnd"/>
            <w:r w:rsidRPr="00286136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가공무역 감독관리 모델 개혁 시범사업에 관한 공고</w:t>
            </w:r>
          </w:p>
          <w:bookmarkEnd w:id="0"/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 [2017] 29호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가공무역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및 보세 감독관리 개혁을 전면적으로 심화하고 세관의 가공무역에 대한 감독관리 및 서비스 수준을 강화하며 기업의 자율적 관리를 유도하기 위한 목적으로 해관총서는 </w:t>
            </w:r>
            <w:proofErr w:type="spellStart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전자화수책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방식으로 관리하는 기업 중에서 일부 기업을 선정하여 "기업 </w:t>
            </w:r>
            <w:proofErr w:type="spellStart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단위별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가공무역 감독관리 모델"(이하 "신규 감독관리 모델"</w:t>
            </w:r>
            <w:proofErr w:type="spellStart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로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약칭) 개혁 시범사업을 추진하기로 결정하였다. 이에 관련 사항을 다음과 같이 공고한다.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시범사업 실시세관 및 업무범위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(1)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시범사업 </w:t>
            </w:r>
            <w:proofErr w:type="gramStart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실시세관 :</w:t>
            </w:r>
            <w:proofErr w:type="gram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톈진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天津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세관, 선양(</w:t>
            </w:r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沈陽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세관, </w:t>
            </w:r>
            <w:proofErr w:type="spellStart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난징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南京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세관, </w:t>
            </w:r>
            <w:proofErr w:type="spellStart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항저우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proofErr w:type="spellStart"/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杭州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세관, </w:t>
            </w:r>
            <w:proofErr w:type="spellStart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우한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武漢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세관, </w:t>
            </w:r>
            <w:proofErr w:type="spellStart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공베이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proofErr w:type="spellStart"/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拱北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세관, </w:t>
            </w:r>
            <w:proofErr w:type="spellStart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황푸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黃埔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세관, </w:t>
            </w:r>
            <w:proofErr w:type="spellStart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충칭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重慶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세관, </w:t>
            </w:r>
            <w:proofErr w:type="spellStart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청두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成都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세관.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각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실시세관은 실제상황을 기반으로 해당 관할지역의 보조 정보화 시스템에 의탁하여 해당 관할지역 내 기업의 시범사업을 조직한다. 전국적으로 통일된 정보화 시스템이 개통된 후에는 통일된 정보화 시스템을 이용한다.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(2)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신규 감독관리 모델이라 함은, 세관이 기업을 단위로 실시하는 장부를 주선(</w:t>
            </w:r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主線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)으로 하고 기업의 원자재 코드와 대응되는 세관상품코드(원자재 번호) 또는 기업의 자주적 통합에 의해 생성된 세관상품코드(항목 번호)를 기반으로 하여 회전물량을 통제하고 정기 등록말소(</w:t>
            </w:r>
            <w:proofErr w:type="spellStart"/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核銷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)하는 가공무역 감독관리 모델을 지칭한다.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(3)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신규 감독관리 모델의 </w:t>
            </w:r>
            <w:proofErr w:type="gramStart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업무범위 :</w:t>
            </w:r>
            <w:proofErr w:type="gram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장부의 개설(변경), 수출입, 외주가공, </w:t>
            </w:r>
            <w:proofErr w:type="spellStart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심가공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이월, 내수판매, 잔여 원자재 이월, 물량정산 신고(</w:t>
            </w:r>
            <w:proofErr w:type="spellStart"/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核報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및 등록말소(</w:t>
            </w:r>
            <w:proofErr w:type="spellStart"/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核銷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등을 포함한다.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주요내용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(1)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신규 감독관리 모델을 실시하는 기업은 다음 방식에 따라 관련 업무를 전개한다.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①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장부의 개설. 기업은 업종 특성, 생산 규모, 관리 수준 등 요인에 근거하여 원자재 번호 또는 항목 번호를 선택하여 장부를 개설할 수 있다. 장부의 최대 수입 량은 &lt;가공무역기업 경영상황 및 생산능력 증명&gt;에 기재된 생산능력 즉 수입 원자재와 대응되는 금액으로 한다.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②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등록말소(</w:t>
            </w:r>
            <w:proofErr w:type="spellStart"/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核銷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주기. 기업은 생산 주기에 근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lastRenderedPageBreak/>
              <w:t>거하여 자주적으로 등록말소(</w:t>
            </w:r>
            <w:proofErr w:type="spellStart"/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核銷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주기를 확정할 수 있으며 현행 규정에 따라 단위제품당 원자재 소모량 신고 단계를 확정하고 자주적으로 단위제품당 원자재 소모량 신고 시간을 확정할 수 있다.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③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외주가공. 외주가공 업무를 전개하는 기업에 있어 더 이상 입고•출하 화물 리스트 신고를 요구하지 아니하며 기업은 관련 자료•기록을 적절하게 보관 및 비치하여야 한다.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④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집중적 내수판매. 기업은 매월 15일 전에 </w:t>
            </w:r>
            <w:proofErr w:type="spellStart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직전월에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발생한 내수판매 보세화물에 대하여 납세 수속을 집중적으로 이행하여야 한다. 단, 다음 연도로 이월하여서는 </w:t>
            </w:r>
            <w:proofErr w:type="spellStart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아니된다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⑤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심가공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이월. 기업은 </w:t>
            </w:r>
            <w:proofErr w:type="spellStart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심가공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이월 수속을 이행함에 있어 매월 15일 전에 </w:t>
            </w:r>
            <w:proofErr w:type="spellStart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직전월의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심가공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이월 상황을 집중적으로 신고하여야 하며 화물 출하•입고 기록 신고를 더 이상 요구하지 아니한다. 기업은 관련 자료•기록을 적절하게 보관 및 비치하여야 한다.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⑥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잔여 </w:t>
            </w:r>
            <w:proofErr w:type="spellStart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원재자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이월. 기업은 물량정산 신고(</w:t>
            </w:r>
            <w:proofErr w:type="spellStart"/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核報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)에 앞서 실제 재고를 원자재로 환산하여 신규 장부로 전입시켜야 한다.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(2)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등록말소(</w:t>
            </w:r>
            <w:proofErr w:type="spellStart"/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核銷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주기 내에 기업은 자주적 물량정산 신고(</w:t>
            </w:r>
            <w:proofErr w:type="spellStart"/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核報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)의 방식으로 세관에서 등록말소(</w:t>
            </w:r>
            <w:proofErr w:type="spellStart"/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核銷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수속을 이행하여 한다. 그 중에서, 등록말소(</w:t>
            </w:r>
            <w:proofErr w:type="spellStart"/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核銷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주기가 1년 이상인 경우 기업은 연도신고 수속을 이행하여야 한다.  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</w:pPr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①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286136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자주적 물량정산 신고(</w:t>
            </w:r>
            <w:proofErr w:type="spellStart"/>
            <w:r w:rsidRPr="00286136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核報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). 기업이 자주적으로 보세 방식으로 수입된 원자재의 소모량을 산정하여 세관에 신고하는 행위를 지칭한다. 기업은 단위제품당 원자재 소모량, 소모 원자재 리스트 및 작업 명세서 등 방식으로 보세수입 원자재 소모량을 정산할 수 있으며 당기 정산결과를 세관에 신고하여 등록말소(</w:t>
            </w:r>
            <w:proofErr w:type="spellStart"/>
            <w:r w:rsidRPr="00286136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核銷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) 수속을 이행하여야 한다.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②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연도신고. 등록말소(</w:t>
            </w:r>
            <w:proofErr w:type="spellStart"/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核銷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주기가 1년 이상인 기업은 보세 원자재 소모량 등 장부 데이터를 최소한 연 1회 세관에 신고하여야 한다. 연도신고 데이터의 누계를 해당 등록말소(</w:t>
            </w:r>
            <w:proofErr w:type="spellStart"/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核銷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주기의 보세 원자재 총 소모량으로 인정한다.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(3)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장부 등록말소(</w:t>
            </w:r>
            <w:proofErr w:type="spellStart"/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核銷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주기가 종료되기 전에 기업이 해당 등록말소(</w:t>
            </w:r>
            <w:proofErr w:type="spellStart"/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核銷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주기 내에 돌발상황으로 인하여 발생한 문제점과 내부통제검사에서 발견된 문제점을 주동적으로 세관에 보충신고하고 이와 더불어 적시적인 통제조치 및 시정조치를 제시한 경우 세관은 기업의 신고를 집중적으로 처리할 수 있다.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(4)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기업은 장부 개설 시점의 원자재 번호 또는 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lastRenderedPageBreak/>
              <w:t xml:space="preserve">항목 번호에 근거하여 </w:t>
            </w:r>
            <w:proofErr w:type="spellStart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내료가공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proofErr w:type="spellStart"/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來料加工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또는 진료가공(</w:t>
            </w:r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進料加工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)의 감독관리 방식으로 성실하게 수출입 신고 수속을 이행하여야 한다.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(5)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기업은 규정에 따라 해당 전자 데이터 및 지면 서류를 제출, 보관, 저장하여야 한다.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(6)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신규 감독관리 모델 시범사업을 실시하는 기업은 반드시 자사 명의로 가공무역 업무를 전개하는 생산성 기업이어야 하며 다음 조건 중의 하나를 만족시켜야 한다.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①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세관신용등급이 일반 인증 및 그 이상이어야 한다.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②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세관신용등급이 일반 신용이고 기업 내부의 가공무역 화물 흐름 및 데이터 흐름이 투명 및 명확하며 논리의 사슬이 온전하고 원자재 소모 상황에 대한 추적이 가능하며 세관의 감독관리 요구를 만족시켜야 한다.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(7)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286136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기업에게 다음 각 호의 어느 하나에 해당하는 상황이 발생하는 경우 세관은 더 이상 해당 기업에 대하여 신규 감독관리 모델을 실시하지 아니한다.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①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신용불량 기업으로 신용등급이 인하된 경우;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②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내부 정보화 시스템을 완비하지 못하였거나 가공무역 화물 흐름과 데이터 흐름의 논리 사슬이 온전하지 못하거나 원자재 소모 관리가 세관의 감독관리 요구를 만족시킬 수 없을 경우;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③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세관 수속을 규범적으로 이행할 수 없거나 요구에 따라 관련 데이터, 서류 및 자료를 적시에 제출, 보관, 저장할 수 없을 경우;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④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신규 감독관리 모델 부적용을 주동적으로 신청한 경우;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⑤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신규 감독관리 모델 적용 취소가 필요한 기타의 경우. 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세관이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해당 기업에 대하여 신규 감독관리 모델의 장부 관리를 실시하지 않기로 확정한 경우 해당 기업은 확정일로부터 30일 내에 세관에서 장부 등록말소(</w:t>
            </w:r>
            <w:proofErr w:type="spellStart"/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核銷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수속을 이행하여야 한다.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기타 사항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(1)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이 공고가 정식으로 실시된 후, 집행이 완료되지 아니한 </w:t>
            </w:r>
            <w:proofErr w:type="spellStart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가공무역수책에</w:t>
            </w:r>
            <w:proofErr w:type="spellEnd"/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대하여 기업은 아직 수출되지 아니한 가공무역 화물을 원자재로 환산하여 신규 장부로 전입시킬 수 있다. 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(2)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286136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이 공고에 명확히 규정하지 아니한 사항은 가공무역 감독관리 일반 규정에 따라 관리를 실시한다.  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28613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</w:t>
            </w:r>
            <w:r w:rsidRPr="0028613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공고의 내용은 2017년 8월 1일부터 시행한다.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위와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같이 특별히 공고한다.</w:t>
            </w: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286136" w:rsidRPr="00286136" w:rsidRDefault="00286136" w:rsidP="00286136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lastRenderedPageBreak/>
              <w:t xml:space="preserve">　　</w:t>
            </w:r>
            <w:r w:rsidRPr="0028613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2017년 7월 13일</w:t>
            </w:r>
          </w:p>
          <w:p w:rsidR="00F6633C" w:rsidRPr="00F6633C" w:rsidRDefault="00286136" w:rsidP="00286136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8613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　　해관총서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286136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关于以企业为单元加工贸易监管模式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286136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改革试点的公告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>海关总署公告〔</w:t>
            </w:r>
            <w:r w:rsidRPr="00286136">
              <w:rPr>
                <w:rFonts w:ascii="SimSun" w:eastAsia="SimSun" w:hAnsi="SimSun"/>
                <w:szCs w:val="21"/>
              </w:rPr>
              <w:t xml:space="preserve">2017〕29 </w:t>
            </w:r>
            <w:r w:rsidRPr="00286136">
              <w:rPr>
                <w:rFonts w:ascii="SimSun" w:eastAsia="SimSun" w:hAnsi="SimSun" w:hint="eastAsia"/>
                <w:szCs w:val="21"/>
              </w:rPr>
              <w:t>号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286136">
              <w:rPr>
                <w:rFonts w:ascii="SimSun" w:eastAsia="SimSun" w:hAnsi="SimSun" w:hint="eastAsia"/>
                <w:spacing w:val="20"/>
                <w:szCs w:val="21"/>
              </w:rPr>
              <w:t>为全面深化加工贸易及保税监管改革，提升海关加工贸易监管与服务水平，引导企业自律管理，海关总署决定选择部分电子化手册管理模式的企业，实施“以企业为单元加工贸易监管模式”（以下简称“新监管模式”）改革试点工作。现将有关事项公告如下：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 xml:space="preserve">　　一、试点海关及业务范围</w:t>
            </w:r>
          </w:p>
          <w:p w:rsid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rPr>
                <w:rFonts w:ascii="SimSun" w:eastAsia="SimSun" w:hAnsi="SimSun" w:hint="eastAsia"/>
                <w:spacing w:val="20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>（一）</w:t>
            </w:r>
            <w:r w:rsidRPr="00286136">
              <w:rPr>
                <w:rFonts w:ascii="SimSun" w:eastAsia="SimSun" w:hAnsi="SimSun" w:hint="eastAsia"/>
                <w:spacing w:val="20"/>
                <w:szCs w:val="21"/>
              </w:rPr>
              <w:t>试点海关：天津、沈阳、南京、杭州、武汉、拱北、黄埔、重庆、成都海关。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rPr>
                <w:rFonts w:ascii="SimSun" w:eastAsia="SimSun" w:hAnsi="SimSun"/>
                <w:spacing w:val="20"/>
                <w:szCs w:val="21"/>
              </w:rPr>
            </w:pP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8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286136">
              <w:rPr>
                <w:rFonts w:ascii="SimSun" w:eastAsia="SimSun" w:hAnsi="SimSun" w:hint="eastAsia"/>
                <w:spacing w:val="8"/>
                <w:szCs w:val="21"/>
              </w:rPr>
              <w:t>各试点海关可结合实际情况，依托本关区辅助信息化系统，组织本关区内企业试点；全国统一版信息化系统上线后，统一适用统一版信息化系统。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8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 xml:space="preserve">　　（二）</w:t>
            </w:r>
            <w:r w:rsidRPr="00286136">
              <w:rPr>
                <w:rFonts w:ascii="SimSun" w:eastAsia="SimSun" w:hAnsi="SimSun" w:hint="eastAsia"/>
                <w:spacing w:val="8"/>
                <w:szCs w:val="21"/>
              </w:rPr>
              <w:t>新监管模式是指海关实施的以企业为单元，以账册为主线，以与企业物料编码对应的海关商品编号（料号）或经企业自主归并后形成的海关商品编号（项号）为基础，周转量控制，定期核销的加工贸易监管模式。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 xml:space="preserve">　　（三）新监管模式的业务范围包括：账册设立（变更）、进出口、外发加工、深加工结转、内销、剩余料件结转、核报和核销等。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 xml:space="preserve">　　二、主要内容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 xml:space="preserve">　　（一）实施新监管模式的企业，按照以下方式开展相关业务：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286136">
              <w:rPr>
                <w:rFonts w:ascii="SimSun" w:eastAsia="SimSun" w:hAnsi="SimSun"/>
                <w:szCs w:val="21"/>
              </w:rPr>
              <w:t>1．</w:t>
            </w:r>
            <w:r w:rsidRPr="00286136">
              <w:rPr>
                <w:rFonts w:ascii="SimSun" w:eastAsia="SimSun" w:hAnsi="SimSun" w:hint="eastAsia"/>
                <w:szCs w:val="21"/>
              </w:rPr>
              <w:t>账册设立。企业可以根据行业特点、生产规模、管理水平等因素选择以料号或项号设立账册；账册的最大进口量为《加工贸易企业经营状况和生产能力证明》所载生产能力，即进口料件对应金额。</w:t>
            </w:r>
          </w:p>
          <w:p w:rsid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ind w:firstLine="420"/>
              <w:rPr>
                <w:rFonts w:ascii="SimSun" w:eastAsia="SimSun" w:hAnsi="SimSun" w:hint="eastAsia"/>
                <w:spacing w:val="20"/>
                <w:szCs w:val="21"/>
              </w:rPr>
            </w:pPr>
            <w:r w:rsidRPr="00286136">
              <w:rPr>
                <w:rFonts w:ascii="SimSun" w:eastAsia="SimSun" w:hAnsi="SimSun"/>
                <w:szCs w:val="21"/>
              </w:rPr>
              <w:t>2．</w:t>
            </w:r>
            <w:r w:rsidRPr="00286136">
              <w:rPr>
                <w:rFonts w:ascii="SimSun" w:eastAsia="SimSun" w:hAnsi="SimSun" w:hint="eastAsia"/>
                <w:spacing w:val="20"/>
                <w:szCs w:val="21"/>
              </w:rPr>
              <w:t>核销周期。企业可以根据生产周期，自主选择合理核销周</w:t>
            </w:r>
            <w:r w:rsidRPr="00286136">
              <w:rPr>
                <w:rFonts w:ascii="SimSun" w:eastAsia="SimSun" w:hAnsi="SimSun" w:hint="eastAsia"/>
                <w:spacing w:val="20"/>
                <w:szCs w:val="21"/>
              </w:rPr>
              <w:lastRenderedPageBreak/>
              <w:t>期，并按照现有规定确定单耗申报环节，自主选择单耗申报时间。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ind w:firstLine="420"/>
              <w:rPr>
                <w:rFonts w:ascii="SimSun" w:eastAsia="SimSun" w:hAnsi="SimSun"/>
                <w:spacing w:val="20"/>
                <w:szCs w:val="21"/>
              </w:rPr>
            </w:pP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286136">
              <w:rPr>
                <w:rFonts w:ascii="SimSun" w:eastAsia="SimSun" w:hAnsi="SimSun"/>
                <w:szCs w:val="21"/>
              </w:rPr>
              <w:t>3．</w:t>
            </w:r>
            <w:r w:rsidRPr="00286136">
              <w:rPr>
                <w:rFonts w:ascii="SimSun" w:eastAsia="SimSun" w:hAnsi="SimSun" w:hint="eastAsia"/>
                <w:spacing w:val="20"/>
                <w:szCs w:val="21"/>
              </w:rPr>
              <w:t>外发加工。企业开展外发加工业务时，不再报送收发货清单，同时应保存相关资料、记录备查。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286136">
              <w:rPr>
                <w:rFonts w:ascii="SimSun" w:eastAsia="SimSun" w:hAnsi="SimSun"/>
                <w:szCs w:val="21"/>
              </w:rPr>
              <w:t>4．</w:t>
            </w:r>
            <w:r w:rsidRPr="00286136">
              <w:rPr>
                <w:rFonts w:ascii="SimSun" w:eastAsia="SimSun" w:hAnsi="SimSun" w:hint="eastAsia"/>
                <w:spacing w:val="20"/>
                <w:szCs w:val="21"/>
              </w:rPr>
              <w:t>集中内销。企业应于每月</w:t>
            </w:r>
            <w:r w:rsidRPr="00286136">
              <w:rPr>
                <w:rFonts w:ascii="SimSun" w:eastAsia="SimSun" w:hAnsi="SimSun"/>
                <w:spacing w:val="20"/>
                <w:szCs w:val="21"/>
              </w:rPr>
              <w:t>15</w:t>
            </w:r>
            <w:r w:rsidRPr="00286136">
              <w:rPr>
                <w:rFonts w:ascii="SimSun" w:eastAsia="SimSun" w:hAnsi="SimSun" w:hint="eastAsia"/>
                <w:spacing w:val="20"/>
                <w:szCs w:val="21"/>
              </w:rPr>
              <w:t>日前对上月发生的内销保税货物集中办理纳税手续，但不得跨年。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286136">
              <w:rPr>
                <w:rFonts w:ascii="SimSun" w:eastAsia="SimSun" w:hAnsi="SimSun"/>
                <w:szCs w:val="21"/>
              </w:rPr>
              <w:t>5．</w:t>
            </w:r>
            <w:r w:rsidRPr="00286136">
              <w:rPr>
                <w:rFonts w:ascii="SimSun" w:eastAsia="SimSun" w:hAnsi="SimSun" w:hint="eastAsia"/>
                <w:spacing w:val="20"/>
                <w:szCs w:val="21"/>
              </w:rPr>
              <w:t>深加工结转。企业在办理深加工结转手续时，应于每月</w:t>
            </w:r>
            <w:r w:rsidRPr="00286136">
              <w:rPr>
                <w:rFonts w:ascii="SimSun" w:eastAsia="SimSun" w:hAnsi="SimSun"/>
                <w:spacing w:val="20"/>
                <w:szCs w:val="21"/>
              </w:rPr>
              <w:t>15</w:t>
            </w:r>
            <w:r w:rsidRPr="00286136">
              <w:rPr>
                <w:rFonts w:ascii="SimSun" w:eastAsia="SimSun" w:hAnsi="SimSun" w:hint="eastAsia"/>
                <w:spacing w:val="20"/>
                <w:szCs w:val="21"/>
              </w:rPr>
              <w:t>日前对上月深加工结转情况进行集中申报，不再报送收发货记录，同时应保存相关资料、记录备查。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286136">
              <w:rPr>
                <w:rFonts w:ascii="SimSun" w:eastAsia="SimSun" w:hAnsi="SimSun"/>
                <w:szCs w:val="21"/>
              </w:rPr>
              <w:t>6．</w:t>
            </w:r>
            <w:r w:rsidRPr="00286136">
              <w:rPr>
                <w:rFonts w:ascii="SimSun" w:eastAsia="SimSun" w:hAnsi="SimSun" w:hint="eastAsia"/>
                <w:spacing w:val="20"/>
                <w:szCs w:val="21"/>
              </w:rPr>
              <w:t>剩余料件结转。企业应在核报前，将实际库存折料转入新账册</w:t>
            </w:r>
            <w:r w:rsidRPr="00286136">
              <w:rPr>
                <w:rFonts w:ascii="SimSun" w:eastAsia="SimSun" w:hAnsi="SimSun" w:hint="eastAsia"/>
                <w:szCs w:val="21"/>
              </w:rPr>
              <w:t>。</w:t>
            </w:r>
          </w:p>
          <w:p w:rsid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ind w:firstLine="440"/>
              <w:rPr>
                <w:rFonts w:ascii="SimSun" w:eastAsia="SimSun" w:hAnsi="SimSun" w:hint="eastAsia"/>
                <w:spacing w:val="20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>（二）</w:t>
            </w:r>
            <w:r w:rsidRPr="00286136">
              <w:rPr>
                <w:rFonts w:ascii="SimSun" w:eastAsia="SimSun" w:hAnsi="SimSun" w:hint="eastAsia"/>
                <w:spacing w:val="20"/>
                <w:szCs w:val="21"/>
              </w:rPr>
              <w:t>在核销周期内，企业采用自主核报方式向海关办理核销手续，其中，对核销周期超过一年的，企业应进行年度申报。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ind w:firstLine="440"/>
              <w:rPr>
                <w:rFonts w:ascii="SimSun" w:eastAsia="SimSun" w:hAnsi="SimSun"/>
                <w:spacing w:val="20"/>
                <w:szCs w:val="21"/>
              </w:rPr>
            </w:pP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286136">
              <w:rPr>
                <w:rFonts w:ascii="SimSun" w:eastAsia="SimSun" w:hAnsi="SimSun"/>
                <w:szCs w:val="21"/>
              </w:rPr>
              <w:t>1．</w:t>
            </w:r>
            <w:r w:rsidRPr="00286136">
              <w:rPr>
                <w:rFonts w:ascii="SimSun" w:eastAsia="SimSun" w:hAnsi="SimSun" w:hint="eastAsia"/>
                <w:spacing w:val="20"/>
                <w:szCs w:val="21"/>
              </w:rPr>
              <w:t>自主核报。指企业自主核定保税进口料件的耗用量并向海关如实申报的行为。企业可采用单耗、耗料清单和工单等保税进口料件耗用的核算方式，向海关申报当期核算结果、办理核销手续。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286136">
              <w:rPr>
                <w:rFonts w:ascii="SimSun" w:eastAsia="SimSun" w:hAnsi="SimSun"/>
                <w:szCs w:val="21"/>
              </w:rPr>
              <w:t>2．</w:t>
            </w:r>
            <w:r w:rsidRPr="00286136">
              <w:rPr>
                <w:rFonts w:ascii="SimSun" w:eastAsia="SimSun" w:hAnsi="SimSun" w:hint="eastAsia"/>
                <w:szCs w:val="21"/>
              </w:rPr>
              <w:t>年度申报。对核销周期超过</w:t>
            </w:r>
            <w:r w:rsidRPr="00286136">
              <w:rPr>
                <w:rFonts w:ascii="SimSun" w:eastAsia="SimSun" w:hAnsi="SimSun"/>
                <w:szCs w:val="21"/>
              </w:rPr>
              <w:t>1</w:t>
            </w:r>
            <w:r w:rsidRPr="00286136">
              <w:rPr>
                <w:rFonts w:ascii="SimSun" w:eastAsia="SimSun" w:hAnsi="SimSun" w:hint="eastAsia"/>
                <w:szCs w:val="21"/>
              </w:rPr>
              <w:t>年的企业，每年至少向海关申报</w:t>
            </w:r>
            <w:r w:rsidRPr="00286136">
              <w:rPr>
                <w:rFonts w:ascii="SimSun" w:eastAsia="SimSun" w:hAnsi="SimSun"/>
                <w:szCs w:val="21"/>
              </w:rPr>
              <w:t>1</w:t>
            </w:r>
            <w:r w:rsidRPr="00286136">
              <w:rPr>
                <w:rFonts w:ascii="SimSun" w:eastAsia="SimSun" w:hAnsi="SimSun" w:hint="eastAsia"/>
                <w:szCs w:val="21"/>
              </w:rPr>
              <w:t>次保税料件耗用量等账册数据。年度申报数据的累加作为本核销周期保税料件耗用总量。</w:t>
            </w:r>
          </w:p>
          <w:p w:rsid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rPr>
                <w:rFonts w:ascii="SimSun" w:eastAsia="SimSun" w:hAnsi="SimSun" w:hint="eastAsia"/>
                <w:spacing w:val="20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>（三）</w:t>
            </w:r>
            <w:r w:rsidRPr="00286136">
              <w:rPr>
                <w:rFonts w:ascii="SimSun" w:eastAsia="SimSun" w:hAnsi="SimSun" w:hint="eastAsia"/>
                <w:spacing w:val="20"/>
                <w:szCs w:val="21"/>
              </w:rPr>
              <w:t>在账册核销周期结束前，企业对本核销周期内因突发情况和内部自查自控中发现的问题，主动向海关补充申报，并提供及时控制或整改措施的，海关对企业的申报进行集中处置。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ind w:firstLine="480"/>
              <w:rPr>
                <w:rFonts w:ascii="SimSun" w:eastAsia="SimSun" w:hAnsi="SimSun"/>
                <w:spacing w:val="20"/>
                <w:szCs w:val="21"/>
              </w:rPr>
            </w:pP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 xml:space="preserve">　　（四）</w:t>
            </w:r>
            <w:r w:rsidRPr="00286136">
              <w:rPr>
                <w:rFonts w:ascii="SimSun" w:eastAsia="SimSun" w:hAnsi="SimSun" w:hint="eastAsia"/>
                <w:spacing w:val="20"/>
                <w:szCs w:val="21"/>
              </w:rPr>
              <w:t>企业应根据账册设立时</w:t>
            </w:r>
            <w:r w:rsidRPr="00286136">
              <w:rPr>
                <w:rFonts w:ascii="SimSun" w:eastAsia="SimSun" w:hAnsi="SimSun" w:hint="eastAsia"/>
                <w:spacing w:val="20"/>
                <w:szCs w:val="21"/>
              </w:rPr>
              <w:lastRenderedPageBreak/>
              <w:t>的料号或项号，据实以来料加工或进料加工监管方式申报进出口。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 xml:space="preserve">　　（五）企业应按照规定提交、保留、存储相应电子数据和纸质单证。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 xml:space="preserve">　　（六）实施新监管模式试点的企业，必须是以自己名义开展加工贸易业务的生产型企业，且符合以下条件之一：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286136">
              <w:rPr>
                <w:rFonts w:ascii="SimSun" w:eastAsia="SimSun" w:hAnsi="SimSun"/>
                <w:szCs w:val="21"/>
              </w:rPr>
              <w:t>1．</w:t>
            </w:r>
            <w:r w:rsidRPr="00286136">
              <w:rPr>
                <w:rFonts w:ascii="SimSun" w:eastAsia="SimSun" w:hAnsi="SimSun" w:hint="eastAsia"/>
                <w:szCs w:val="21"/>
              </w:rPr>
              <w:t>海关信用等级为一般认证及以上的；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286136">
              <w:rPr>
                <w:rFonts w:ascii="SimSun" w:eastAsia="SimSun" w:hAnsi="SimSun"/>
                <w:szCs w:val="21"/>
              </w:rPr>
              <w:t>2．</w:t>
            </w:r>
            <w:r w:rsidRPr="00286136">
              <w:rPr>
                <w:rFonts w:ascii="SimSun" w:eastAsia="SimSun" w:hAnsi="SimSun" w:hint="eastAsia"/>
                <w:spacing w:val="20"/>
                <w:szCs w:val="21"/>
              </w:rPr>
              <w:t>海关信用等级为一般信用企业，且企业内部加工贸易货物流和数据流透明清晰，逻辑链完整，耗料可追溯，满足海关监管要求的。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 xml:space="preserve">　　（七）</w:t>
            </w:r>
            <w:r w:rsidRPr="00286136">
              <w:rPr>
                <w:rFonts w:ascii="SimSun" w:eastAsia="SimSun" w:hAnsi="SimSun" w:hint="eastAsia"/>
                <w:spacing w:val="20"/>
                <w:szCs w:val="21"/>
              </w:rPr>
              <w:t>企业出现以下情形之一的，海关不再对其实施新监管模式：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286136">
              <w:rPr>
                <w:rFonts w:ascii="SimSun" w:eastAsia="SimSun" w:hAnsi="SimSun"/>
                <w:szCs w:val="21"/>
              </w:rPr>
              <w:t>1．</w:t>
            </w:r>
            <w:r w:rsidRPr="00286136">
              <w:rPr>
                <w:rFonts w:ascii="SimSun" w:eastAsia="SimSun" w:hAnsi="SimSun" w:hint="eastAsia"/>
                <w:szCs w:val="21"/>
              </w:rPr>
              <w:t>信用类别降为失信企业的；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12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286136">
              <w:rPr>
                <w:rFonts w:ascii="SimSun" w:eastAsia="SimSun" w:hAnsi="SimSun"/>
                <w:szCs w:val="21"/>
              </w:rPr>
              <w:t>2．</w:t>
            </w:r>
            <w:r w:rsidRPr="00286136">
              <w:rPr>
                <w:rFonts w:ascii="SimSun" w:eastAsia="SimSun" w:hAnsi="SimSun" w:hint="eastAsia"/>
                <w:spacing w:val="12"/>
                <w:szCs w:val="21"/>
              </w:rPr>
              <w:t>内部信息化系统不完备，加工贸易货物流和数据流逻辑链条不完整，耗料管理不能满足海关监管要求的；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286136">
              <w:rPr>
                <w:rFonts w:ascii="SimSun" w:eastAsia="SimSun" w:hAnsi="SimSun"/>
                <w:szCs w:val="21"/>
              </w:rPr>
              <w:t>3．</w:t>
            </w:r>
            <w:r w:rsidRPr="00286136">
              <w:rPr>
                <w:rFonts w:ascii="SimSun" w:eastAsia="SimSun" w:hAnsi="SimSun" w:hint="eastAsia"/>
                <w:szCs w:val="21"/>
              </w:rPr>
              <w:t>不能规范办理海关手续，不能按要求及时提交、保留、存储相关数据、单证和资料的；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286136">
              <w:rPr>
                <w:rFonts w:ascii="SimSun" w:eastAsia="SimSun" w:hAnsi="SimSun"/>
                <w:szCs w:val="21"/>
              </w:rPr>
              <w:t>4．</w:t>
            </w:r>
            <w:r w:rsidRPr="00286136">
              <w:rPr>
                <w:rFonts w:ascii="SimSun" w:eastAsia="SimSun" w:hAnsi="SimSun" w:hint="eastAsia"/>
                <w:spacing w:val="20"/>
                <w:szCs w:val="21"/>
              </w:rPr>
              <w:t>主动申请不实施新监管模式的；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286136">
              <w:rPr>
                <w:rFonts w:ascii="SimSun" w:eastAsia="SimSun" w:hAnsi="SimSun"/>
                <w:szCs w:val="21"/>
              </w:rPr>
              <w:t>5．</w:t>
            </w:r>
            <w:r w:rsidRPr="00286136">
              <w:rPr>
                <w:rFonts w:ascii="SimSun" w:eastAsia="SimSun" w:hAnsi="SimSun" w:hint="eastAsia"/>
                <w:spacing w:val="20"/>
                <w:szCs w:val="21"/>
              </w:rPr>
              <w:t>其他需要撤销新监管模式的。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14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286136">
              <w:rPr>
                <w:rFonts w:ascii="SimSun" w:eastAsia="SimSun" w:hAnsi="SimSun" w:hint="eastAsia"/>
                <w:spacing w:val="14"/>
                <w:szCs w:val="21"/>
              </w:rPr>
              <w:t>海关不再对其实施新监管模式账册管理的，自确定之日起</w:t>
            </w:r>
            <w:r w:rsidRPr="00286136">
              <w:rPr>
                <w:rFonts w:ascii="SimSun" w:eastAsia="SimSun" w:hAnsi="SimSun"/>
                <w:spacing w:val="14"/>
                <w:szCs w:val="21"/>
              </w:rPr>
              <w:t>30</w:t>
            </w:r>
            <w:r w:rsidRPr="00286136">
              <w:rPr>
                <w:rFonts w:ascii="SimSun" w:eastAsia="SimSun" w:hAnsi="SimSun" w:hint="eastAsia"/>
                <w:spacing w:val="14"/>
                <w:szCs w:val="21"/>
              </w:rPr>
              <w:t>日内，企业应向海关办理该账册核销手续。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 xml:space="preserve">　　三、其他事项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 xml:space="preserve">　　（一）本公告正式实施后，对尚未执行完毕的加工贸易手册，企业可将尚未出口的加工贸易货物折料转入新账册。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 xml:space="preserve">　　（二）本公告未明确事项，按照加工贸易监管的一般性规定实施管理。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 xml:space="preserve">　　本公告内容自</w:t>
            </w:r>
            <w:r w:rsidRPr="00286136">
              <w:rPr>
                <w:rFonts w:ascii="SimSun" w:eastAsia="SimSun" w:hAnsi="SimSun"/>
                <w:szCs w:val="21"/>
              </w:rPr>
              <w:t>2017</w:t>
            </w:r>
            <w:r w:rsidRPr="00286136">
              <w:rPr>
                <w:rFonts w:ascii="SimSun" w:eastAsia="SimSun" w:hAnsi="SimSun" w:hint="eastAsia"/>
                <w:szCs w:val="21"/>
              </w:rPr>
              <w:t>年</w:t>
            </w:r>
            <w:r w:rsidRPr="00286136">
              <w:rPr>
                <w:rFonts w:ascii="SimSun" w:eastAsia="SimSun" w:hAnsi="SimSun"/>
                <w:szCs w:val="21"/>
              </w:rPr>
              <w:t>8</w:t>
            </w:r>
            <w:r w:rsidRPr="00286136">
              <w:rPr>
                <w:rFonts w:ascii="SimSun" w:eastAsia="SimSun" w:hAnsi="SimSun" w:hint="eastAsia"/>
                <w:szCs w:val="21"/>
              </w:rPr>
              <w:t>月</w:t>
            </w:r>
            <w:r w:rsidRPr="00286136">
              <w:rPr>
                <w:rFonts w:ascii="SimSun" w:eastAsia="SimSun" w:hAnsi="SimSun"/>
                <w:szCs w:val="21"/>
              </w:rPr>
              <w:t>1</w:t>
            </w:r>
            <w:r w:rsidRPr="00286136">
              <w:rPr>
                <w:rFonts w:ascii="SimSun" w:eastAsia="SimSun" w:hAnsi="SimSun" w:hint="eastAsia"/>
                <w:szCs w:val="21"/>
              </w:rPr>
              <w:t>日起施行。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>特此公告。</w:t>
            </w: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286136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lastRenderedPageBreak/>
              <w:t xml:space="preserve">　　</w:t>
            </w:r>
            <w:r w:rsidRPr="00286136">
              <w:rPr>
                <w:rFonts w:ascii="SimSun" w:eastAsia="SimSun" w:hAnsi="SimSun"/>
                <w:szCs w:val="21"/>
              </w:rPr>
              <w:t>2017</w:t>
            </w:r>
            <w:r w:rsidRPr="00286136">
              <w:rPr>
                <w:rFonts w:ascii="SimSun" w:eastAsia="SimSun" w:hAnsi="SimSun" w:hint="eastAsia"/>
                <w:szCs w:val="21"/>
              </w:rPr>
              <w:t>年</w:t>
            </w:r>
            <w:r w:rsidRPr="00286136">
              <w:rPr>
                <w:rFonts w:ascii="SimSun" w:eastAsia="SimSun" w:hAnsi="SimSun"/>
                <w:szCs w:val="21"/>
              </w:rPr>
              <w:t>7</w:t>
            </w:r>
            <w:r w:rsidRPr="00286136">
              <w:rPr>
                <w:rFonts w:ascii="SimSun" w:eastAsia="SimSun" w:hAnsi="SimSun" w:hint="eastAsia"/>
                <w:szCs w:val="21"/>
              </w:rPr>
              <w:t>月</w:t>
            </w:r>
            <w:r w:rsidRPr="00286136">
              <w:rPr>
                <w:rFonts w:ascii="SimSun" w:eastAsia="SimSun" w:hAnsi="SimSun"/>
                <w:szCs w:val="21"/>
              </w:rPr>
              <w:t>13</w:t>
            </w:r>
            <w:r w:rsidRPr="00286136">
              <w:rPr>
                <w:rFonts w:ascii="SimSun" w:eastAsia="SimSun" w:hAnsi="SimSun" w:hint="eastAsia"/>
                <w:szCs w:val="21"/>
              </w:rPr>
              <w:t>日</w:t>
            </w:r>
          </w:p>
          <w:p w:rsidR="00F6633C" w:rsidRPr="00286136" w:rsidRDefault="00286136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286136">
              <w:rPr>
                <w:rFonts w:ascii="SimSun" w:eastAsia="SimSun" w:hAnsi="SimSun" w:hint="eastAsia"/>
                <w:szCs w:val="21"/>
              </w:rPr>
              <w:t xml:space="preserve">　　海关总署</w:t>
            </w:r>
          </w:p>
          <w:p w:rsidR="00F6633C" w:rsidRPr="00F6633C" w:rsidRDefault="00F6633C" w:rsidP="0028613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B19" w:rsidRDefault="00E42B19" w:rsidP="00C278F4">
      <w:r>
        <w:separator/>
      </w:r>
    </w:p>
  </w:endnote>
  <w:endnote w:type="continuationSeparator" w:id="0">
    <w:p w:rsidR="00E42B19" w:rsidRDefault="00E42B19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B19" w:rsidRDefault="00E42B19" w:rsidP="00C278F4">
      <w:r>
        <w:separator/>
      </w:r>
    </w:p>
  </w:footnote>
  <w:footnote w:type="continuationSeparator" w:id="0">
    <w:p w:rsidR="00E42B19" w:rsidRDefault="00E42B19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86136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42B19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19</cp:revision>
  <dcterms:created xsi:type="dcterms:W3CDTF">2016-01-15T03:23:00Z</dcterms:created>
  <dcterms:modified xsi:type="dcterms:W3CDTF">2017-08-02T01:00:00Z</dcterms:modified>
</cp:coreProperties>
</file>