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0860A4" w:rsidRPr="000860A4" w:rsidRDefault="000860A4" w:rsidP="000860A4">
            <w:pPr>
              <w:shd w:val="clear" w:color="auto" w:fill="FFFFFF"/>
              <w:wordWrap w:val="0"/>
              <w:overflowPunct w:val="0"/>
              <w:topLinePunct/>
              <w:autoSpaceDN w:val="0"/>
              <w:adjustRightInd w:val="0"/>
              <w:snapToGrid w:val="0"/>
              <w:spacing w:line="400" w:lineRule="exact"/>
              <w:jc w:val="center"/>
              <w:outlineLvl w:val="0"/>
              <w:rPr>
                <w:rFonts w:ascii="한컴바탕" w:eastAsia="한컴바탕" w:hAnsi="한컴바탕" w:cs="한컴바탕"/>
                <w:b/>
                <w:bCs/>
                <w:kern w:val="36"/>
                <w:sz w:val="26"/>
                <w:szCs w:val="26"/>
                <w:lang w:eastAsia="ko-KR"/>
              </w:rPr>
            </w:pPr>
            <w:bookmarkStart w:id="0" w:name="_GoBack"/>
            <w:bookmarkEnd w:id="0"/>
            <w:r w:rsidRPr="000860A4">
              <w:rPr>
                <w:rFonts w:ascii="한컴바탕" w:eastAsia="한컴바탕" w:hAnsi="한컴바탕" w:cs="한컴바탕" w:hint="eastAsia"/>
                <w:b/>
                <w:bCs/>
                <w:kern w:val="36"/>
                <w:sz w:val="26"/>
                <w:szCs w:val="26"/>
                <w:lang w:eastAsia="ko-KR"/>
              </w:rPr>
              <w:t>중화인민공화국 도시유지보호건설세법</w:t>
            </w:r>
          </w:p>
          <w:p w:rsidR="000860A4" w:rsidRPr="000860A4" w:rsidRDefault="000860A4" w:rsidP="000860A4">
            <w:pPr>
              <w:shd w:val="clear" w:color="auto" w:fill="FFFFFF"/>
              <w:wordWrap w:val="0"/>
              <w:overflowPunct w:val="0"/>
              <w:topLinePunct/>
              <w:autoSpaceDN w:val="0"/>
              <w:adjustRightInd w:val="0"/>
              <w:snapToGrid w:val="0"/>
              <w:spacing w:line="340" w:lineRule="exact"/>
              <w:jc w:val="center"/>
              <w:outlineLvl w:val="2"/>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2020</w:t>
            </w:r>
            <w:r w:rsidRPr="000860A4">
              <w:rPr>
                <w:rFonts w:ascii="한컴바탕" w:eastAsia="한컴바탕" w:hAnsi="한컴바탕" w:cs="한컴바탕" w:hint="eastAsia"/>
                <w:kern w:val="0"/>
                <w:szCs w:val="21"/>
                <w:lang w:eastAsia="ko-KR"/>
              </w:rPr>
              <w:t xml:space="preserve">년 </w:t>
            </w:r>
            <w:r w:rsidRPr="000860A4">
              <w:rPr>
                <w:rFonts w:ascii="한컴바탕" w:eastAsia="한컴바탕" w:hAnsi="한컴바탕" w:cs="한컴바탕"/>
                <w:kern w:val="0"/>
                <w:szCs w:val="21"/>
                <w:lang w:eastAsia="ko-KR"/>
              </w:rPr>
              <w:t>8</w:t>
            </w:r>
            <w:r w:rsidRPr="000860A4">
              <w:rPr>
                <w:rFonts w:ascii="한컴바탕" w:eastAsia="한컴바탕" w:hAnsi="한컴바탕" w:cs="한컴바탕" w:hint="eastAsia"/>
                <w:kern w:val="0"/>
                <w:szCs w:val="21"/>
                <w:lang w:eastAsia="ko-KR"/>
              </w:rPr>
              <w:t xml:space="preserve">월 </w:t>
            </w:r>
            <w:r w:rsidRPr="000860A4">
              <w:rPr>
                <w:rFonts w:ascii="한컴바탕" w:eastAsia="한컴바탕" w:hAnsi="한컴바탕" w:cs="한컴바탕"/>
                <w:kern w:val="0"/>
                <w:szCs w:val="21"/>
                <w:lang w:eastAsia="ko-KR"/>
              </w:rPr>
              <w:t>11</w:t>
            </w:r>
            <w:r w:rsidRPr="000860A4">
              <w:rPr>
                <w:rFonts w:ascii="한컴바탕" w:eastAsia="한컴바탕" w:hAnsi="한컴바탕" w:cs="한컴바탕" w:hint="eastAsia"/>
                <w:kern w:val="0"/>
                <w:szCs w:val="21"/>
                <w:lang w:eastAsia="ko-KR"/>
              </w:rPr>
              <w:t>일 제1</w:t>
            </w:r>
            <w:r w:rsidRPr="000860A4">
              <w:rPr>
                <w:rFonts w:ascii="한컴바탕" w:eastAsia="한컴바탕" w:hAnsi="한컴바탕" w:cs="한컴바탕"/>
                <w:kern w:val="0"/>
                <w:szCs w:val="21"/>
                <w:lang w:eastAsia="ko-KR"/>
              </w:rPr>
              <w:t>3</w:t>
            </w:r>
            <w:r w:rsidRPr="000860A4">
              <w:rPr>
                <w:rFonts w:ascii="한컴바탕" w:eastAsia="한컴바탕" w:hAnsi="한컴바탕" w:cs="한컴바탕" w:hint="eastAsia"/>
                <w:kern w:val="0"/>
                <w:szCs w:val="21"/>
                <w:lang w:eastAsia="ko-KR"/>
              </w:rPr>
              <w:t>기 전국인민대표대회 상무위원회 제2</w:t>
            </w:r>
            <w:r w:rsidRPr="000860A4">
              <w:rPr>
                <w:rFonts w:ascii="한컴바탕" w:eastAsia="한컴바탕" w:hAnsi="한컴바탕" w:cs="한컴바탕"/>
                <w:kern w:val="0"/>
                <w:szCs w:val="21"/>
                <w:lang w:eastAsia="ko-KR"/>
              </w:rPr>
              <w:t>1</w:t>
            </w:r>
            <w:r w:rsidRPr="000860A4">
              <w:rPr>
                <w:rFonts w:ascii="한컴바탕" w:eastAsia="한컴바탕" w:hAnsi="한컴바탕" w:cs="한컴바탕" w:hint="eastAsia"/>
                <w:kern w:val="0"/>
                <w:szCs w:val="21"/>
                <w:lang w:eastAsia="ko-KR"/>
              </w:rPr>
              <w:t>차 회의에서 통과)</w:t>
            </w:r>
          </w:p>
          <w:p w:rsidR="000860A4" w:rsidRPr="000860A4" w:rsidRDefault="000860A4" w:rsidP="000860A4">
            <w:pPr>
              <w:shd w:val="clear" w:color="auto" w:fill="FFFFFF"/>
              <w:wordWrap w:val="0"/>
              <w:overflowPunct w:val="0"/>
              <w:topLinePunct/>
              <w:autoSpaceDN w:val="0"/>
              <w:adjustRightInd w:val="0"/>
              <w:snapToGrid w:val="0"/>
              <w:spacing w:line="340" w:lineRule="exact"/>
              <w:outlineLvl w:val="2"/>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outlineLvl w:val="2"/>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제1조 중화인민공화국</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국내에서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소비세를 납부하는 단위와 개인은 </w:t>
            </w:r>
            <w:proofErr w:type="spellStart"/>
            <w:r w:rsidRPr="000860A4">
              <w:rPr>
                <w:rFonts w:ascii="한컴바탕" w:eastAsia="한컴바탕" w:hAnsi="한컴바탕" w:cs="한컴바탕" w:hint="eastAsia"/>
                <w:kern w:val="0"/>
                <w:szCs w:val="21"/>
                <w:lang w:eastAsia="ko-KR"/>
              </w:rPr>
              <w:t>도시유지보호건설세의</w:t>
            </w:r>
            <w:proofErr w:type="spellEnd"/>
            <w:r w:rsidRPr="000860A4">
              <w:rPr>
                <w:rFonts w:ascii="한컴바탕" w:eastAsia="한컴바탕" w:hAnsi="한컴바탕" w:cs="한컴바탕" w:hint="eastAsia"/>
                <w:kern w:val="0"/>
                <w:szCs w:val="21"/>
                <w:lang w:eastAsia="ko-KR"/>
              </w:rPr>
              <w:t xml:space="preserve"> 납세자이며</w:t>
            </w:r>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 xml:space="preserve"> 본 법규에 의거하여 </w:t>
            </w:r>
            <w:proofErr w:type="spellStart"/>
            <w:r w:rsidRPr="000860A4">
              <w:rPr>
                <w:rFonts w:ascii="한컴바탕" w:eastAsia="한컴바탕" w:hAnsi="한컴바탕" w:cs="한컴바탕" w:hint="eastAsia"/>
                <w:kern w:val="0"/>
                <w:szCs w:val="21"/>
                <w:lang w:eastAsia="ko-KR"/>
              </w:rPr>
              <w:t>도시유지보호건설세를</w:t>
            </w:r>
            <w:proofErr w:type="spellEnd"/>
            <w:r w:rsidRPr="000860A4">
              <w:rPr>
                <w:rFonts w:ascii="한컴바탕" w:eastAsia="한컴바탕" w:hAnsi="한컴바탕" w:cs="한컴바탕" w:hint="eastAsia"/>
                <w:kern w:val="0"/>
                <w:szCs w:val="21"/>
                <w:lang w:eastAsia="ko-KR"/>
              </w:rPr>
              <w:t xml:space="preserve"> 납부해야 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 xml:space="preserve">제2조 </w:t>
            </w:r>
            <w:proofErr w:type="spellStart"/>
            <w:r w:rsidRPr="000860A4">
              <w:rPr>
                <w:rFonts w:ascii="한컴바탕" w:eastAsia="한컴바탕" w:hAnsi="한컴바탕" w:cs="한컴바탕" w:hint="eastAsia"/>
                <w:kern w:val="0"/>
                <w:szCs w:val="21"/>
                <w:lang w:eastAsia="ko-KR"/>
              </w:rPr>
              <w:t>도시유지보호건설세는</w:t>
            </w:r>
            <w:proofErr w:type="spellEnd"/>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납세자가 법에 따라 실제 납부한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소비세 세액을 과세기준</w:t>
            </w:r>
            <w:r w:rsidRPr="000860A4">
              <w:rPr>
                <w:rFonts w:ascii="한컴바탕" w:eastAsia="한컴바탕" w:hAnsi="한컴바탕" w:cs="한컴바탕"/>
                <w:kern w:val="0"/>
                <w:szCs w:val="21"/>
                <w:lang w:eastAsia="ko-KR"/>
              </w:rPr>
              <w:t>으로</w:t>
            </w:r>
            <w:r w:rsidRPr="000860A4">
              <w:rPr>
                <w:rFonts w:ascii="한컴바탕" w:eastAsia="한컴바탕" w:hAnsi="한컴바탕" w:cs="한컴바탕" w:hint="eastAsia"/>
                <w:kern w:val="0"/>
                <w:szCs w:val="21"/>
                <w:lang w:eastAsia="ko-KR"/>
              </w:rPr>
              <w:t xml:space="preserve"> 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proofErr w:type="spellStart"/>
            <w:r w:rsidRPr="000860A4">
              <w:rPr>
                <w:rFonts w:ascii="한컴바탕" w:eastAsia="한컴바탕" w:hAnsi="한컴바탕" w:cs="한컴바탕" w:hint="eastAsia"/>
                <w:kern w:val="0"/>
                <w:szCs w:val="21"/>
                <w:lang w:eastAsia="ko-KR"/>
              </w:rPr>
              <w:t>도시유지보호건설세의</w:t>
            </w:r>
            <w:proofErr w:type="spellEnd"/>
            <w:r w:rsidRPr="000860A4">
              <w:rPr>
                <w:rFonts w:ascii="한컴바탕" w:eastAsia="한컴바탕" w:hAnsi="한컴바탕" w:cs="한컴바탕" w:hint="eastAsia"/>
                <w:kern w:val="0"/>
                <w:szCs w:val="21"/>
                <w:lang w:eastAsia="ko-KR"/>
              </w:rPr>
              <w:t xml:space="preserve"> 과세기준은 규정에 따라</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기말이월공제 환급세액 환급액을 공제한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 xml:space="preserve"> 세액이어야 한다.</w:t>
            </w:r>
            <w:r w:rsidRPr="000860A4">
              <w:rPr>
                <w:rFonts w:ascii="한컴바탕" w:eastAsia="한컴바탕" w:hAnsi="한컴바탕" w:cs="한컴바탕"/>
                <w:kern w:val="0"/>
                <w:szCs w:val="21"/>
                <w:lang w:eastAsia="ko-KR"/>
              </w:rPr>
              <w:t xml:space="preserve"> </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proofErr w:type="spellStart"/>
            <w:r w:rsidRPr="000860A4">
              <w:rPr>
                <w:rFonts w:ascii="한컴바탕" w:eastAsia="한컴바탕" w:hAnsi="한컴바탕" w:cs="한컴바탕" w:hint="eastAsia"/>
                <w:kern w:val="0"/>
                <w:szCs w:val="21"/>
                <w:lang w:eastAsia="ko-KR"/>
              </w:rPr>
              <w:t>도시유지보호건설세</w:t>
            </w:r>
            <w:proofErr w:type="spellEnd"/>
            <w:r w:rsidRPr="000860A4">
              <w:rPr>
                <w:rFonts w:ascii="한컴바탕" w:eastAsia="한컴바탕" w:hAnsi="한컴바탕" w:cs="한컴바탕" w:hint="eastAsia"/>
                <w:kern w:val="0"/>
                <w:szCs w:val="21"/>
                <w:lang w:eastAsia="ko-KR"/>
              </w:rPr>
              <w:t xml:space="preserve"> 과세기준의 구체적인 확정방법은 국무원이 본 법과 관련 세수법률,</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행정법규규정에 따라 전국인민대표대회 상무위원회에 </w:t>
            </w:r>
            <w:proofErr w:type="spellStart"/>
            <w:r w:rsidRPr="000860A4">
              <w:rPr>
                <w:rFonts w:ascii="한컴바탕" w:eastAsia="한컴바탕" w:hAnsi="한컴바탕" w:cs="한컴바탕" w:hint="eastAsia"/>
                <w:kern w:val="0"/>
                <w:szCs w:val="21"/>
                <w:lang w:eastAsia="ko-KR"/>
              </w:rPr>
              <w:t>비안</w:t>
            </w:r>
            <w:proofErr w:type="spellEnd"/>
            <w:r w:rsidRPr="000860A4">
              <w:rPr>
                <w:rFonts w:ascii="한컴바탕" w:eastAsia="한컴바탕" w:hAnsi="한컴바탕" w:cs="한컴바탕" w:hint="eastAsia"/>
                <w:kern w:val="0"/>
                <w:szCs w:val="21"/>
                <w:lang w:eastAsia="ko-KR"/>
              </w:rPr>
              <w:t>(</w:t>
            </w:r>
            <w:proofErr w:type="spellStart"/>
            <w:r w:rsidRPr="000860A4">
              <w:rPr>
                <w:rFonts w:ascii="한컴바탕" w:eastAsia="한컴바탕" w:hAnsi="한컴바탕" w:cs="한컴바탕" w:hint="eastAsia"/>
                <w:kern w:val="0"/>
                <w:szCs w:val="21"/>
                <w:lang w:eastAsia="ko-KR"/>
              </w:rPr>
              <w:t>備案</w:t>
            </w:r>
            <w:proofErr w:type="spellEnd"/>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을 보고한다.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제3조 수입 화물 또는 해외 단위와 개인이 중국으로 노무</w:t>
            </w:r>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 xml:space="preserve">서비스/무형자산을 판매하고 납부한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소비세 세액에 대해서는 </w:t>
            </w:r>
            <w:proofErr w:type="spellStart"/>
            <w:r w:rsidRPr="000860A4">
              <w:rPr>
                <w:rFonts w:ascii="한컴바탕" w:eastAsia="한컴바탕" w:hAnsi="한컴바탕" w:cs="한컴바탕" w:hint="eastAsia"/>
                <w:kern w:val="0"/>
                <w:szCs w:val="21"/>
                <w:lang w:eastAsia="ko-KR"/>
              </w:rPr>
              <w:t>도시유지보호건설세를</w:t>
            </w:r>
            <w:proofErr w:type="spellEnd"/>
            <w:r w:rsidRPr="000860A4">
              <w:rPr>
                <w:rFonts w:ascii="한컴바탕" w:eastAsia="한컴바탕" w:hAnsi="한컴바탕" w:cs="한컴바탕" w:hint="eastAsia"/>
                <w:kern w:val="0"/>
                <w:szCs w:val="21"/>
                <w:lang w:eastAsia="ko-KR"/>
              </w:rPr>
              <w:t xml:space="preserve"> 징수하지 않는다.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 xml:space="preserve">제4조 </w:t>
            </w:r>
            <w:proofErr w:type="spellStart"/>
            <w:r w:rsidRPr="000860A4">
              <w:rPr>
                <w:rFonts w:ascii="한컴바탕" w:eastAsia="한컴바탕" w:hAnsi="한컴바탕" w:cs="한컴바탕" w:hint="eastAsia"/>
                <w:w w:val="90"/>
                <w:kern w:val="0"/>
                <w:szCs w:val="21"/>
                <w:lang w:eastAsia="ko-KR"/>
              </w:rPr>
              <w:t>도시유지보호건설세</w:t>
            </w:r>
            <w:proofErr w:type="spellEnd"/>
            <w:r w:rsidRPr="000860A4">
              <w:rPr>
                <w:rFonts w:ascii="한컴바탕" w:eastAsia="한컴바탕" w:hAnsi="한컴바탕" w:cs="한컴바탕" w:hint="eastAsia"/>
                <w:w w:val="90"/>
                <w:kern w:val="0"/>
                <w:szCs w:val="21"/>
                <w:lang w:eastAsia="ko-KR"/>
              </w:rPr>
              <w:t xml:space="preserve"> 세율은 아래와 같다.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0860A4">
              <w:rPr>
                <w:rFonts w:ascii="한컴바탕" w:eastAsia="한컴바탕" w:hAnsi="한컴바탕" w:cs="한컴바탕"/>
                <w:kern w:val="0"/>
                <w:szCs w:val="21"/>
                <w:lang w:eastAsia="ko-KR"/>
              </w:rPr>
              <w:t xml:space="preserve">(1) </w:t>
            </w:r>
            <w:r w:rsidRPr="000860A4">
              <w:rPr>
                <w:rFonts w:ascii="한컴바탕" w:eastAsia="한컴바탕" w:hAnsi="한컴바탕" w:cs="한컴바탕" w:hint="eastAsia"/>
                <w:kern w:val="0"/>
                <w:szCs w:val="21"/>
                <w:lang w:eastAsia="ko-KR"/>
              </w:rPr>
              <w:t>납세자의 소재지가 시(市</w:t>
            </w:r>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와 구</w:t>
            </w:r>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區</w:t>
            </w:r>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인 경우,</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세율은 </w:t>
            </w:r>
            <w:r w:rsidRPr="000860A4">
              <w:rPr>
                <w:rFonts w:ascii="한컴바탕" w:eastAsia="한컴바탕" w:hAnsi="한컴바탕" w:cs="한컴바탕"/>
                <w:kern w:val="0"/>
                <w:szCs w:val="21"/>
                <w:lang w:eastAsia="ko-KR"/>
              </w:rPr>
              <w:t>7%</w:t>
            </w:r>
            <w:r w:rsidRPr="000860A4">
              <w:rPr>
                <w:rFonts w:ascii="한컴바탕" w:eastAsia="한컴바탕" w:hAnsi="한컴바탕" w:cs="한컴바탕" w:hint="eastAsia"/>
                <w:kern w:val="0"/>
                <w:szCs w:val="21"/>
                <w:lang w:eastAsia="ko-KR"/>
              </w:rPr>
              <w:t>이다.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2</w:t>
            </w:r>
            <w:r w:rsidRPr="000860A4">
              <w:rPr>
                <w:rFonts w:ascii="한컴바탕" w:eastAsia="한컴바탕" w:hAnsi="한컴바탕" w:cs="한컴바탕" w:hint="eastAsia"/>
                <w:kern w:val="0"/>
                <w:szCs w:val="21"/>
                <w:lang w:eastAsia="ko-KR"/>
              </w:rPr>
              <w:t>) 납세자의 소재지가 현성</w:t>
            </w:r>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县城</w:t>
            </w:r>
            <w:r w:rsidRPr="000860A4">
              <w:rPr>
                <w:rFonts w:ascii="한컴바탕" w:eastAsia="한컴바탕" w:hAnsi="한컴바탕" w:cs="한컴바탕"/>
                <w:kern w:val="0"/>
                <w:szCs w:val="21"/>
                <w:lang w:eastAsia="ko-KR"/>
              </w:rPr>
              <w:t>)</w:t>
            </w:r>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진(镇)인 경우,</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세율은 </w:t>
            </w:r>
            <w:r w:rsidRPr="000860A4">
              <w:rPr>
                <w:rFonts w:ascii="한컴바탕" w:eastAsia="한컴바탕" w:hAnsi="한컴바탕" w:cs="한컴바탕"/>
                <w:kern w:val="0"/>
                <w:szCs w:val="21"/>
                <w:lang w:eastAsia="ko-KR"/>
              </w:rPr>
              <w:t>5%</w:t>
            </w:r>
            <w:r w:rsidRPr="000860A4">
              <w:rPr>
                <w:rFonts w:ascii="한컴바탕" w:eastAsia="한컴바탕" w:hAnsi="한컴바탕" w:cs="한컴바탕" w:hint="eastAsia"/>
                <w:kern w:val="0"/>
                <w:szCs w:val="21"/>
                <w:lang w:eastAsia="ko-KR"/>
              </w:rPr>
              <w:t>이다.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3) </w:t>
            </w:r>
            <w:r w:rsidRPr="000860A4">
              <w:rPr>
                <w:rFonts w:ascii="한컴바탕" w:eastAsia="한컴바탕" w:hAnsi="한컴바탕" w:cs="한컴바탕" w:hint="eastAsia"/>
                <w:kern w:val="0"/>
                <w:szCs w:val="21"/>
                <w:lang w:eastAsia="ko-KR"/>
              </w:rPr>
              <w:t>납세자의 소재지가 시,</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구,</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현성</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혹은 진이 아닌 경우,</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세율은 </w:t>
            </w:r>
            <w:r w:rsidRPr="000860A4">
              <w:rPr>
                <w:rFonts w:ascii="한컴바탕" w:eastAsia="한컴바탕" w:hAnsi="한컴바탕" w:cs="한컴바탕"/>
                <w:kern w:val="0"/>
                <w:szCs w:val="21"/>
                <w:lang w:eastAsia="ko-KR"/>
              </w:rPr>
              <w:t>1%</w:t>
            </w:r>
            <w:r w:rsidRPr="000860A4">
              <w:rPr>
                <w:rFonts w:ascii="한컴바탕" w:eastAsia="한컴바탕" w:hAnsi="한컴바탕" w:cs="한컴바탕" w:hint="eastAsia"/>
                <w:kern w:val="0"/>
                <w:szCs w:val="21"/>
                <w:lang w:eastAsia="ko-KR"/>
              </w:rPr>
              <w:t>이다.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lastRenderedPageBreak/>
              <w:t>전 관(款)에서</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언급한 납세자의</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소재지는 납세자의</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주소지</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또는</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납세자의</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생산경영활동과</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관련되는</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기타</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장소를</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뜻하며, 구체적인 장소는 성,</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자치구,</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직할시에서 확정한다.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 xml:space="preserve">제5조 </w:t>
            </w:r>
            <w:proofErr w:type="spellStart"/>
            <w:r w:rsidRPr="000860A4">
              <w:rPr>
                <w:rFonts w:ascii="한컴바탕" w:eastAsia="한컴바탕" w:hAnsi="한컴바탕" w:cs="한컴바탕" w:hint="eastAsia"/>
                <w:kern w:val="0"/>
                <w:szCs w:val="21"/>
                <w:lang w:eastAsia="ko-KR"/>
              </w:rPr>
              <w:t>도시유지보호건설세</w:t>
            </w:r>
            <w:proofErr w:type="spellEnd"/>
            <w:r w:rsidRPr="000860A4">
              <w:rPr>
                <w:rFonts w:ascii="한컴바탕" w:eastAsia="한컴바탕" w:hAnsi="한컴바탕" w:cs="한컴바탕" w:hint="eastAsia"/>
                <w:kern w:val="0"/>
                <w:szCs w:val="21"/>
                <w:lang w:eastAsia="ko-KR"/>
              </w:rPr>
              <w:t xml:space="preserve"> 납부세액은 과세기준에 특정 적용세율을 곱해 산출한다.</w:t>
            </w:r>
            <w:r w:rsidRPr="000860A4">
              <w:rPr>
                <w:rFonts w:ascii="한컴바탕" w:eastAsia="한컴바탕" w:hAnsi="한컴바탕" w:cs="한컴바탕"/>
                <w:kern w:val="0"/>
                <w:szCs w:val="21"/>
                <w:lang w:eastAsia="ko-KR"/>
              </w:rPr>
              <w:t xml:space="preserve"> </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제6조 국민경제와 사회발전의 수요에 따라</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국무원은 중대한 공공기초시설 건설,</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특수 산업과 단체 및 중대한 돌발사건 대응 등 상황에 대해 </w:t>
            </w:r>
            <w:proofErr w:type="spellStart"/>
            <w:r w:rsidRPr="000860A4">
              <w:rPr>
                <w:rFonts w:ascii="한컴바탕" w:eastAsia="한컴바탕" w:hAnsi="한컴바탕" w:cs="한컴바탕" w:hint="eastAsia"/>
                <w:kern w:val="0"/>
                <w:szCs w:val="21"/>
                <w:lang w:eastAsia="ko-KR"/>
              </w:rPr>
              <w:t>도시유지보호건설세를</w:t>
            </w:r>
            <w:proofErr w:type="spellEnd"/>
            <w:r w:rsidRPr="000860A4">
              <w:rPr>
                <w:rFonts w:ascii="한컴바탕" w:eastAsia="한컴바탕" w:hAnsi="한컴바탕" w:cs="한컴바탕" w:hint="eastAsia"/>
                <w:kern w:val="0"/>
                <w:szCs w:val="21"/>
                <w:lang w:eastAsia="ko-KR"/>
              </w:rPr>
              <w:t xml:space="preserve"> 감면 징수 또는 면제하도록 규정할 수 있으며, 전국인민대표대회 상무위원회에 </w:t>
            </w:r>
            <w:proofErr w:type="spellStart"/>
            <w:r w:rsidRPr="000860A4">
              <w:rPr>
                <w:rFonts w:ascii="한컴바탕" w:eastAsia="한컴바탕" w:hAnsi="한컴바탕" w:cs="한컴바탕" w:hint="eastAsia"/>
                <w:kern w:val="0"/>
                <w:szCs w:val="21"/>
                <w:lang w:eastAsia="ko-KR"/>
              </w:rPr>
              <w:t>비안을</w:t>
            </w:r>
            <w:proofErr w:type="spellEnd"/>
            <w:r w:rsidRPr="000860A4">
              <w:rPr>
                <w:rFonts w:ascii="한컴바탕" w:eastAsia="한컴바탕" w:hAnsi="한컴바탕" w:cs="한컴바탕" w:hint="eastAsia"/>
                <w:kern w:val="0"/>
                <w:szCs w:val="21"/>
                <w:lang w:eastAsia="ko-KR"/>
              </w:rPr>
              <w:t xml:space="preserve"> 보고한다.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제</w:t>
            </w:r>
            <w:r w:rsidRPr="000860A4">
              <w:rPr>
                <w:rFonts w:ascii="한컴바탕" w:eastAsia="한컴바탕" w:hAnsi="한컴바탕" w:cs="한컴바탕"/>
                <w:kern w:val="0"/>
                <w:szCs w:val="21"/>
                <w:lang w:eastAsia="ko-KR"/>
              </w:rPr>
              <w:t>7</w:t>
            </w:r>
            <w:r w:rsidRPr="000860A4">
              <w:rPr>
                <w:rFonts w:ascii="한컴바탕" w:eastAsia="한컴바탕" w:hAnsi="한컴바탕" w:cs="한컴바탕" w:hint="eastAsia"/>
                <w:kern w:val="0"/>
                <w:szCs w:val="21"/>
                <w:lang w:eastAsia="ko-KR"/>
              </w:rPr>
              <w:t xml:space="preserve">조 </w:t>
            </w:r>
            <w:proofErr w:type="spellStart"/>
            <w:r w:rsidRPr="000860A4">
              <w:rPr>
                <w:rFonts w:ascii="한컴바탕" w:eastAsia="한컴바탕" w:hAnsi="한컴바탕" w:cs="한컴바탕" w:hint="eastAsia"/>
                <w:kern w:val="0"/>
                <w:szCs w:val="21"/>
                <w:lang w:eastAsia="ko-KR"/>
              </w:rPr>
              <w:t>도시유지보호건설세의</w:t>
            </w:r>
            <w:proofErr w:type="spellEnd"/>
            <w:r w:rsidRPr="000860A4">
              <w:rPr>
                <w:rFonts w:ascii="한컴바탕" w:eastAsia="한컴바탕" w:hAnsi="한컴바탕" w:cs="한컴바탕" w:hint="eastAsia"/>
                <w:kern w:val="0"/>
                <w:szCs w:val="21"/>
                <w:lang w:eastAsia="ko-KR"/>
              </w:rPr>
              <w:t xml:space="preserve"> 납세의무 발생시기는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소비세의 납세의무가 발생한 시기와 동일하며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소비세로 구분하여 동시 납부한다.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 xml:space="preserve">제8조 </w:t>
            </w:r>
            <w:proofErr w:type="spellStart"/>
            <w:r w:rsidRPr="000860A4">
              <w:rPr>
                <w:rFonts w:ascii="한컴바탕" w:eastAsia="한컴바탕" w:hAnsi="한컴바탕" w:cs="한컴바탕" w:hint="eastAsia"/>
                <w:kern w:val="0"/>
                <w:szCs w:val="21"/>
                <w:lang w:eastAsia="ko-KR"/>
              </w:rPr>
              <w:t>도시유지보호건설세의</w:t>
            </w:r>
            <w:proofErr w:type="spellEnd"/>
            <w:r w:rsidRPr="000860A4">
              <w:rPr>
                <w:rFonts w:ascii="한컴바탕" w:eastAsia="한컴바탕" w:hAnsi="한컴바탕" w:cs="한컴바탕" w:hint="eastAsia"/>
                <w:kern w:val="0"/>
                <w:szCs w:val="21"/>
                <w:lang w:eastAsia="ko-KR"/>
              </w:rPr>
              <w:t xml:space="preserve"> 원천징수의무자는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소비세 원천징수의무를 가진 단위와 개인이며</w:t>
            </w:r>
            <w:r w:rsidRPr="000860A4">
              <w:rPr>
                <w:rFonts w:ascii="한컴바탕" w:eastAsia="한컴바탕" w:hAnsi="한컴바탕" w:cs="한컴바탕"/>
                <w:kern w:val="0"/>
                <w:szCs w:val="21"/>
                <w:lang w:eastAsia="ko-KR"/>
              </w:rPr>
              <w:t xml:space="preserve"> </w:t>
            </w:r>
            <w:proofErr w:type="spellStart"/>
            <w:r w:rsidRPr="000860A4">
              <w:rPr>
                <w:rFonts w:ascii="한컴바탕" w:eastAsia="한컴바탕" w:hAnsi="한컴바탕" w:cs="한컴바탕" w:hint="eastAsia"/>
                <w:kern w:val="0"/>
                <w:szCs w:val="21"/>
                <w:lang w:eastAsia="ko-KR"/>
              </w:rPr>
              <w:t>증치세</w:t>
            </w:r>
            <w:proofErr w:type="spellEnd"/>
            <w:r w:rsidRPr="000860A4">
              <w:rPr>
                <w:rFonts w:ascii="한컴바탕" w:eastAsia="한컴바탕" w:hAnsi="한컴바탕" w:cs="한컴바탕" w:hint="eastAsia"/>
                <w:kern w:val="0"/>
                <w:szCs w:val="21"/>
                <w:lang w:eastAsia="ko-KR"/>
              </w:rPr>
              <w:t>,</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 xml:space="preserve">소비세를 납부할 때 동시에 </w:t>
            </w:r>
            <w:proofErr w:type="spellStart"/>
            <w:r w:rsidRPr="000860A4">
              <w:rPr>
                <w:rFonts w:ascii="한컴바탕" w:eastAsia="한컴바탕" w:hAnsi="한컴바탕" w:cs="한컴바탕" w:hint="eastAsia"/>
                <w:kern w:val="0"/>
                <w:szCs w:val="21"/>
                <w:lang w:eastAsia="ko-KR"/>
              </w:rPr>
              <w:t>도시유지보호건설세를</w:t>
            </w:r>
            <w:proofErr w:type="spellEnd"/>
            <w:r w:rsidRPr="000860A4">
              <w:rPr>
                <w:rFonts w:ascii="한컴바탕" w:eastAsia="한컴바탕" w:hAnsi="한컴바탕" w:cs="한컴바탕" w:hint="eastAsia"/>
                <w:kern w:val="0"/>
                <w:szCs w:val="21"/>
                <w:lang w:eastAsia="ko-KR"/>
              </w:rPr>
              <w:t xml:space="preserve"> </w:t>
            </w:r>
            <w:proofErr w:type="spellStart"/>
            <w:r w:rsidRPr="000860A4">
              <w:rPr>
                <w:rFonts w:ascii="한컴바탕" w:eastAsia="한컴바탕" w:hAnsi="한컴바탕" w:cs="한컴바탕" w:hint="eastAsia"/>
                <w:kern w:val="0"/>
                <w:szCs w:val="21"/>
                <w:lang w:eastAsia="ko-KR"/>
              </w:rPr>
              <w:t>원천징수한다</w:t>
            </w:r>
            <w:proofErr w:type="spellEnd"/>
            <w:r w:rsidRPr="000860A4">
              <w:rPr>
                <w:rFonts w:ascii="한컴바탕" w:eastAsia="한컴바탕" w:hAnsi="한컴바탕" w:cs="한컴바탕" w:hint="eastAsia"/>
                <w:kern w:val="0"/>
                <w:szCs w:val="21"/>
                <w:lang w:eastAsia="ko-KR"/>
              </w:rPr>
              <w:t>.</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 xml:space="preserve">제9조 </w:t>
            </w:r>
            <w:proofErr w:type="spellStart"/>
            <w:r w:rsidRPr="000860A4">
              <w:rPr>
                <w:rFonts w:ascii="한컴바탕" w:eastAsia="한컴바탕" w:hAnsi="한컴바탕" w:cs="한컴바탕" w:hint="eastAsia"/>
                <w:kern w:val="0"/>
                <w:szCs w:val="21"/>
                <w:lang w:eastAsia="ko-KR"/>
              </w:rPr>
              <w:t>도시유지보호건설세는</w:t>
            </w:r>
            <w:proofErr w:type="spellEnd"/>
            <w:r w:rsidRPr="000860A4">
              <w:rPr>
                <w:rFonts w:ascii="한컴바탕" w:eastAsia="한컴바탕" w:hAnsi="한컴바탕" w:cs="한컴바탕" w:hint="eastAsia"/>
                <w:kern w:val="0"/>
                <w:szCs w:val="21"/>
                <w:lang w:eastAsia="ko-KR"/>
              </w:rPr>
              <w:t xml:space="preserve"> 세무기관이 본 법과 </w:t>
            </w:r>
            <w:r w:rsidRPr="000860A4">
              <w:rPr>
                <w:rFonts w:ascii="한컴바탕" w:eastAsia="한컴바탕" w:hAnsi="한컴바탕" w:cs="한컴바탕"/>
                <w:kern w:val="0"/>
                <w:szCs w:val="21"/>
                <w:lang w:eastAsia="ko-KR"/>
              </w:rPr>
              <w:t>&lt;</w:t>
            </w:r>
            <w:r w:rsidRPr="000860A4">
              <w:rPr>
                <w:rFonts w:ascii="한컴바탕" w:eastAsia="한컴바탕" w:hAnsi="한컴바탕" w:cs="한컴바탕" w:hint="eastAsia"/>
                <w:kern w:val="0"/>
                <w:szCs w:val="21"/>
                <w:lang w:eastAsia="ko-KR"/>
              </w:rPr>
              <w:t>중화인민공화국 세수징수관리법&gt;의 규정에 따라 징수하고 관리한다.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0860A4">
              <w:rPr>
                <w:rFonts w:ascii="한컴바탕" w:eastAsia="한컴바탕" w:hAnsi="한컴바탕" w:cs="한컴바탕" w:hint="eastAsia"/>
                <w:kern w:val="0"/>
                <w:szCs w:val="21"/>
                <w:lang w:eastAsia="ko-KR"/>
              </w:rPr>
              <w:t>제1</w:t>
            </w:r>
            <w:r w:rsidRPr="000860A4">
              <w:rPr>
                <w:rFonts w:ascii="한컴바탕" w:eastAsia="한컴바탕" w:hAnsi="한컴바탕" w:cs="한컴바탕"/>
                <w:kern w:val="0"/>
                <w:szCs w:val="21"/>
                <w:lang w:eastAsia="ko-KR"/>
              </w:rPr>
              <w:t>0</w:t>
            </w:r>
            <w:r w:rsidRPr="000860A4">
              <w:rPr>
                <w:rFonts w:ascii="한컴바탕" w:eastAsia="한컴바탕" w:hAnsi="한컴바탕" w:cs="한컴바탕" w:hint="eastAsia"/>
                <w:kern w:val="0"/>
                <w:szCs w:val="21"/>
                <w:lang w:eastAsia="ko-KR"/>
              </w:rPr>
              <w:t>조 납세자,</w:t>
            </w:r>
            <w:r w:rsidRPr="000860A4">
              <w:rPr>
                <w:rFonts w:ascii="한컴바탕" w:eastAsia="한컴바탕" w:hAnsi="한컴바탕" w:cs="한컴바탕"/>
                <w:kern w:val="0"/>
                <w:szCs w:val="21"/>
                <w:lang w:eastAsia="ko-KR"/>
              </w:rPr>
              <w:t xml:space="preserve"> </w:t>
            </w:r>
            <w:r w:rsidRPr="000860A4">
              <w:rPr>
                <w:rFonts w:ascii="한컴바탕" w:eastAsia="한컴바탕" w:hAnsi="한컴바탕" w:cs="한컴바탕" w:hint="eastAsia"/>
                <w:kern w:val="0"/>
                <w:szCs w:val="21"/>
                <w:lang w:eastAsia="ko-KR"/>
              </w:rPr>
              <w:t>세무기관 및 그 직원들이 본 법의 규정을 위반하였을 경우</w:t>
            </w:r>
            <w:r w:rsidRPr="000860A4">
              <w:rPr>
                <w:rFonts w:ascii="한컴바탕" w:eastAsia="한컴바탕" w:hAnsi="한컴바탕" w:cs="한컴바탕"/>
                <w:kern w:val="0"/>
                <w:szCs w:val="21"/>
                <w:lang w:eastAsia="ko-KR"/>
              </w:rPr>
              <w:t>, &lt;</w:t>
            </w:r>
            <w:r w:rsidRPr="000860A4">
              <w:rPr>
                <w:rFonts w:ascii="한컴바탕" w:eastAsia="한컴바탕" w:hAnsi="한컴바탕" w:cs="한컴바탕" w:hint="eastAsia"/>
                <w:kern w:val="0"/>
                <w:szCs w:val="21"/>
                <w:lang w:eastAsia="ko-KR"/>
              </w:rPr>
              <w:t>중화인민공화국 세수징수관리법&gt;과 관련 법률법규의 규정에 따라 법률책임을 추궁한다.</w:t>
            </w:r>
          </w:p>
          <w:p w:rsidR="000860A4" w:rsidRPr="000860A4" w:rsidRDefault="000860A4" w:rsidP="000860A4">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p>
          <w:p w:rsidR="00DB5008" w:rsidRPr="000860A4" w:rsidRDefault="000860A4" w:rsidP="000860A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860A4">
              <w:rPr>
                <w:rFonts w:ascii="한컴바탕" w:eastAsia="한컴바탕" w:hAnsi="한컴바탕" w:cs="한컴바탕" w:hint="eastAsia"/>
                <w:kern w:val="0"/>
                <w:szCs w:val="21"/>
                <w:lang w:eastAsia="ko-KR"/>
              </w:rPr>
              <w:t>제1</w:t>
            </w:r>
            <w:r w:rsidRPr="000860A4">
              <w:rPr>
                <w:rFonts w:ascii="한컴바탕" w:eastAsia="한컴바탕" w:hAnsi="한컴바탕" w:cs="한컴바탕"/>
                <w:kern w:val="0"/>
                <w:szCs w:val="21"/>
                <w:lang w:eastAsia="ko-KR"/>
              </w:rPr>
              <w:t>1</w:t>
            </w:r>
            <w:r w:rsidRPr="000860A4">
              <w:rPr>
                <w:rFonts w:ascii="한컴바탕" w:eastAsia="한컴바탕" w:hAnsi="한컴바탕" w:cs="한컴바탕" w:hint="eastAsia"/>
                <w:kern w:val="0"/>
                <w:szCs w:val="21"/>
                <w:lang w:eastAsia="ko-KR"/>
              </w:rPr>
              <w:t xml:space="preserve">조 본 법은 </w:t>
            </w:r>
            <w:r w:rsidRPr="000860A4">
              <w:rPr>
                <w:rFonts w:ascii="한컴바탕" w:eastAsia="한컴바탕" w:hAnsi="한컴바탕" w:cs="한컴바탕"/>
                <w:kern w:val="0"/>
                <w:szCs w:val="21"/>
                <w:lang w:eastAsia="ko-KR"/>
              </w:rPr>
              <w:t>2021</w:t>
            </w:r>
            <w:r w:rsidRPr="000860A4">
              <w:rPr>
                <w:rFonts w:ascii="한컴바탕" w:eastAsia="한컴바탕" w:hAnsi="한컴바탕" w:cs="한컴바탕" w:hint="eastAsia"/>
                <w:kern w:val="0"/>
                <w:szCs w:val="21"/>
                <w:lang w:eastAsia="ko-KR"/>
              </w:rPr>
              <w:t xml:space="preserve">년 </w:t>
            </w:r>
            <w:r w:rsidRPr="000860A4">
              <w:rPr>
                <w:rFonts w:ascii="한컴바탕" w:eastAsia="한컴바탕" w:hAnsi="한컴바탕" w:cs="한컴바탕"/>
                <w:kern w:val="0"/>
                <w:szCs w:val="21"/>
                <w:lang w:eastAsia="ko-KR"/>
              </w:rPr>
              <w:t>9</w:t>
            </w:r>
            <w:r w:rsidRPr="000860A4">
              <w:rPr>
                <w:rFonts w:ascii="한컴바탕" w:eastAsia="한컴바탕" w:hAnsi="한컴바탕" w:cs="한컴바탕" w:hint="eastAsia"/>
                <w:kern w:val="0"/>
                <w:szCs w:val="21"/>
                <w:lang w:eastAsia="ko-KR"/>
              </w:rPr>
              <w:t xml:space="preserve">월 </w:t>
            </w:r>
            <w:r w:rsidRPr="000860A4">
              <w:rPr>
                <w:rFonts w:ascii="한컴바탕" w:eastAsia="한컴바탕" w:hAnsi="한컴바탕" w:cs="한컴바탕"/>
                <w:kern w:val="0"/>
                <w:szCs w:val="21"/>
                <w:lang w:eastAsia="ko-KR"/>
              </w:rPr>
              <w:t>1</w:t>
            </w:r>
            <w:r w:rsidRPr="000860A4">
              <w:rPr>
                <w:rFonts w:ascii="한컴바탕" w:eastAsia="한컴바탕" w:hAnsi="한컴바탕" w:cs="한컴바탕" w:hint="eastAsia"/>
                <w:kern w:val="0"/>
                <w:szCs w:val="21"/>
                <w:lang w:eastAsia="ko-KR"/>
              </w:rPr>
              <w:t>일부터 실행한다.</w:t>
            </w:r>
            <w:r w:rsidRPr="000860A4">
              <w:rPr>
                <w:rFonts w:ascii="한컴바탕" w:eastAsia="한컴바탕" w:hAnsi="한컴바탕" w:cs="한컴바탕"/>
                <w:kern w:val="0"/>
                <w:szCs w:val="21"/>
                <w:lang w:eastAsia="ko-KR"/>
              </w:rPr>
              <w:t xml:space="preserve"> 1985</w:t>
            </w:r>
            <w:r w:rsidRPr="000860A4">
              <w:rPr>
                <w:rFonts w:ascii="한컴바탕" w:eastAsia="한컴바탕" w:hAnsi="한컴바탕" w:cs="한컴바탕" w:hint="eastAsia"/>
                <w:kern w:val="0"/>
                <w:szCs w:val="21"/>
                <w:lang w:eastAsia="ko-KR"/>
              </w:rPr>
              <w:t xml:space="preserve">년 </w:t>
            </w:r>
            <w:r w:rsidRPr="000860A4">
              <w:rPr>
                <w:rFonts w:ascii="한컴바탕" w:eastAsia="한컴바탕" w:hAnsi="한컴바탕" w:cs="한컴바탕"/>
                <w:kern w:val="0"/>
                <w:szCs w:val="21"/>
                <w:lang w:eastAsia="ko-KR"/>
              </w:rPr>
              <w:t>2</w:t>
            </w:r>
            <w:r w:rsidRPr="000860A4">
              <w:rPr>
                <w:rFonts w:ascii="한컴바탕" w:eastAsia="한컴바탕" w:hAnsi="한컴바탕" w:cs="한컴바탕" w:hint="eastAsia"/>
                <w:kern w:val="0"/>
                <w:szCs w:val="21"/>
                <w:lang w:eastAsia="ko-KR"/>
              </w:rPr>
              <w:t xml:space="preserve">월 </w:t>
            </w:r>
            <w:r w:rsidRPr="000860A4">
              <w:rPr>
                <w:rFonts w:ascii="한컴바탕" w:eastAsia="한컴바탕" w:hAnsi="한컴바탕" w:cs="한컴바탕"/>
                <w:kern w:val="0"/>
                <w:szCs w:val="21"/>
                <w:lang w:eastAsia="ko-KR"/>
              </w:rPr>
              <w:t>8</w:t>
            </w:r>
            <w:r w:rsidRPr="000860A4">
              <w:rPr>
                <w:rFonts w:ascii="한컴바탕" w:eastAsia="한컴바탕" w:hAnsi="한컴바탕" w:cs="한컴바탕" w:hint="eastAsia"/>
                <w:kern w:val="0"/>
                <w:szCs w:val="21"/>
                <w:lang w:eastAsia="ko-KR"/>
              </w:rPr>
              <w:t xml:space="preserve">일 국무원이 발표한 </w:t>
            </w:r>
            <w:r w:rsidRPr="000860A4">
              <w:rPr>
                <w:rFonts w:ascii="한컴바탕" w:eastAsia="한컴바탕" w:hAnsi="한컴바탕" w:cs="한컴바탕"/>
                <w:kern w:val="0"/>
                <w:szCs w:val="21"/>
                <w:lang w:eastAsia="ko-KR"/>
              </w:rPr>
              <w:t>&lt;</w:t>
            </w:r>
            <w:r w:rsidRPr="000860A4">
              <w:rPr>
                <w:rFonts w:ascii="한컴바탕" w:eastAsia="한컴바탕" w:hAnsi="한컴바탕" w:cs="한컴바탕" w:hint="eastAsia"/>
                <w:kern w:val="0"/>
                <w:szCs w:val="21"/>
                <w:lang w:eastAsia="ko-KR"/>
              </w:rPr>
              <w:t xml:space="preserve">중화인민공화국 </w:t>
            </w:r>
            <w:proofErr w:type="spellStart"/>
            <w:r w:rsidRPr="000860A4">
              <w:rPr>
                <w:rFonts w:ascii="한컴바탕" w:eastAsia="한컴바탕" w:hAnsi="한컴바탕" w:cs="한컴바탕" w:hint="eastAsia"/>
                <w:kern w:val="0"/>
                <w:szCs w:val="21"/>
                <w:lang w:eastAsia="ko-KR"/>
              </w:rPr>
              <w:t>도시유지보호건설세</w:t>
            </w:r>
            <w:proofErr w:type="spellEnd"/>
            <w:r w:rsidRPr="000860A4">
              <w:rPr>
                <w:rFonts w:ascii="한컴바탕" w:eastAsia="한컴바탕" w:hAnsi="한컴바탕" w:cs="한컴바탕" w:hint="eastAsia"/>
                <w:kern w:val="0"/>
                <w:szCs w:val="21"/>
                <w:lang w:eastAsia="ko-KR"/>
              </w:rPr>
              <w:t xml:space="preserve"> 임시조례&gt;는 동시에 폐지한다.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0860A4" w:rsidRPr="000860A4" w:rsidRDefault="000860A4" w:rsidP="000860A4">
            <w:pPr>
              <w:widowControl/>
              <w:shd w:val="clear" w:color="auto" w:fill="FFFFFF"/>
              <w:snapToGrid w:val="0"/>
              <w:spacing w:line="300" w:lineRule="auto"/>
              <w:jc w:val="center"/>
              <w:outlineLvl w:val="0"/>
              <w:rPr>
                <w:rFonts w:ascii="SimSun" w:eastAsia="SimSun" w:hAnsi="SimSun" w:cs="SimSun"/>
                <w:b/>
                <w:bCs/>
                <w:w w:val="90"/>
                <w:kern w:val="36"/>
                <w:sz w:val="26"/>
                <w:szCs w:val="26"/>
              </w:rPr>
            </w:pPr>
            <w:r w:rsidRPr="000860A4">
              <w:rPr>
                <w:rFonts w:ascii="SimSun" w:eastAsia="SimSun" w:hAnsi="SimSun" w:cs="SimSun" w:hint="eastAsia"/>
                <w:b/>
                <w:bCs/>
                <w:w w:val="90"/>
                <w:kern w:val="36"/>
                <w:sz w:val="26"/>
                <w:szCs w:val="26"/>
              </w:rPr>
              <w:t>中华人民共和国城市维护建设税法</w:t>
            </w:r>
          </w:p>
          <w:p w:rsidR="000860A4" w:rsidRPr="000860A4" w:rsidRDefault="000860A4" w:rsidP="000860A4">
            <w:pPr>
              <w:widowControl/>
              <w:shd w:val="clear" w:color="auto" w:fill="FFFFFF"/>
              <w:snapToGrid w:val="0"/>
              <w:spacing w:line="300" w:lineRule="auto"/>
              <w:jc w:val="center"/>
              <w:outlineLvl w:val="2"/>
              <w:rPr>
                <w:rFonts w:ascii="SimSun" w:eastAsia="SimSun" w:hAnsi="SimSun" w:cs="SimSun"/>
                <w:kern w:val="0"/>
                <w:szCs w:val="21"/>
              </w:rPr>
            </w:pPr>
            <w:r w:rsidRPr="000860A4">
              <w:rPr>
                <w:rFonts w:ascii="SimSun" w:eastAsia="SimSun" w:hAnsi="SimSun" w:cs="SimSun" w:hint="eastAsia"/>
                <w:kern w:val="0"/>
                <w:szCs w:val="21"/>
              </w:rPr>
              <w:t>（</w:t>
            </w:r>
            <w:r w:rsidRPr="000860A4">
              <w:rPr>
                <w:rFonts w:ascii="SimSun" w:eastAsia="SimSun" w:hAnsi="SimSun" w:cs="SimSun" w:hint="eastAsia"/>
                <w:w w:val="90"/>
                <w:kern w:val="0"/>
                <w:szCs w:val="21"/>
              </w:rPr>
              <w:t>2020年8月11日第十三届全国人民代表大会常务委员会第二十一次会议通过</w:t>
            </w:r>
            <w:r w:rsidRPr="000860A4">
              <w:rPr>
                <w:rFonts w:ascii="SimSun" w:eastAsia="SimSun" w:hAnsi="SimSun" w:cs="SimSun" w:hint="eastAsia"/>
                <w:kern w:val="0"/>
                <w:szCs w:val="21"/>
              </w:rPr>
              <w:t>）</w:t>
            </w:r>
          </w:p>
          <w:p w:rsidR="000860A4" w:rsidRPr="000860A4" w:rsidRDefault="000860A4" w:rsidP="000860A4">
            <w:pPr>
              <w:widowControl/>
              <w:shd w:val="clear" w:color="auto" w:fill="FFFFFF"/>
              <w:snapToGrid w:val="0"/>
              <w:spacing w:line="300" w:lineRule="auto"/>
              <w:jc w:val="left"/>
              <w:outlineLvl w:val="2"/>
              <w:rPr>
                <w:rFonts w:ascii="SimSun" w:eastAsia="SimSun" w:hAnsi="SimSun" w:cs="SimSun"/>
                <w:b/>
                <w:bCs/>
                <w:kern w:val="0"/>
                <w:szCs w:val="21"/>
              </w:rPr>
            </w:pPr>
          </w:p>
          <w:p w:rsidR="000860A4" w:rsidRPr="000860A4" w:rsidRDefault="000860A4" w:rsidP="000860A4">
            <w:pPr>
              <w:widowControl/>
              <w:shd w:val="clear" w:color="auto" w:fill="FFFFFF"/>
              <w:snapToGrid w:val="0"/>
              <w:spacing w:line="300" w:lineRule="auto"/>
              <w:jc w:val="left"/>
              <w:outlineLvl w:val="2"/>
              <w:rPr>
                <w:rFonts w:ascii="SimSun" w:eastAsia="SimSun" w:hAnsi="SimSun" w:cs="SimSun"/>
                <w:b/>
                <w:bCs/>
                <w:kern w:val="0"/>
                <w:szCs w:val="21"/>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第一条</w:t>
            </w:r>
            <w:r w:rsidRPr="000860A4">
              <w:rPr>
                <w:rFonts w:ascii="SimSun" w:eastAsia="SimSun" w:hAnsi="SimSun" w:cs="SimSun" w:hint="eastAsia"/>
                <w:kern w:val="0"/>
                <w:szCs w:val="21"/>
              </w:rPr>
              <w:t> </w:t>
            </w:r>
            <w:r w:rsidRPr="000860A4">
              <w:rPr>
                <w:rFonts w:ascii="SimSun" w:eastAsia="SimSun" w:hAnsi="SimSun" w:cs="SimSun" w:hint="eastAsia"/>
                <w:kern w:val="0"/>
                <w:szCs w:val="21"/>
              </w:rPr>
              <w:t>在中华人民共和国境内缴纳增值税、消费税的单位和个人，为城市维护建设税的纳税人，应当依照本法规定缴纳城市维护建设税。</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第二条</w:t>
            </w:r>
            <w:r w:rsidRPr="000860A4">
              <w:rPr>
                <w:rFonts w:ascii="SimSun" w:eastAsia="SimSun" w:hAnsi="SimSun" w:cs="SimSun" w:hint="eastAsia"/>
                <w:kern w:val="0"/>
                <w:szCs w:val="21"/>
              </w:rPr>
              <w:t> </w:t>
            </w:r>
            <w:r w:rsidRPr="000860A4">
              <w:rPr>
                <w:rFonts w:ascii="SimSun" w:eastAsia="SimSun" w:hAnsi="SimSun" w:cs="SimSun" w:hint="eastAsia"/>
                <w:kern w:val="0"/>
                <w:szCs w:val="21"/>
              </w:rPr>
              <w:t>城市维护建设税以纳税人依法实际缴纳的增值税、消费税税额为计税依据。</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rPr>
            </w:pPr>
            <w:r w:rsidRPr="000860A4">
              <w:rPr>
                <w:rFonts w:ascii="SimSun" w:eastAsia="SimSun" w:hAnsi="SimSun" w:cs="SimSun" w:hint="eastAsia"/>
                <w:kern w:val="0"/>
                <w:szCs w:val="21"/>
              </w:rPr>
              <w:t>城市维护建设税的计税依据应当按照规定扣除期末留抵退税退还的增值税税额。</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城市维护建设税计税依据的具体确定办法，由国务院依据本法和有关税收法律、行政法规规定，报全国人民代表大会常务委员会备案。</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第三条</w:t>
            </w:r>
            <w:r w:rsidRPr="000860A4">
              <w:rPr>
                <w:rFonts w:ascii="SimSun" w:eastAsia="SimSun" w:hAnsi="SimSun" w:cs="SimSun" w:hint="eastAsia"/>
                <w:kern w:val="0"/>
                <w:szCs w:val="21"/>
              </w:rPr>
              <w:t> </w:t>
            </w:r>
            <w:r w:rsidRPr="000860A4">
              <w:rPr>
                <w:rFonts w:ascii="SimSun" w:eastAsia="SimSun" w:hAnsi="SimSun" w:cs="SimSun" w:hint="eastAsia"/>
                <w:kern w:val="0"/>
                <w:szCs w:val="21"/>
              </w:rPr>
              <w:t>对进口货物或者境外单位和个人向境内销售劳务、服务、无形资产缴纳的增值税、消费税税额，不征收城市维护建设税。</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第四条</w:t>
            </w:r>
            <w:r w:rsidRPr="000860A4">
              <w:rPr>
                <w:rFonts w:ascii="SimSun" w:eastAsia="SimSun" w:hAnsi="SimSun" w:cs="SimSun" w:hint="eastAsia"/>
                <w:kern w:val="0"/>
                <w:szCs w:val="21"/>
              </w:rPr>
              <w:t> </w:t>
            </w:r>
            <w:r w:rsidRPr="000860A4">
              <w:rPr>
                <w:rFonts w:ascii="SimSun" w:eastAsia="SimSun" w:hAnsi="SimSun" w:cs="SimSun" w:hint="eastAsia"/>
                <w:w w:val="90"/>
                <w:kern w:val="0"/>
                <w:szCs w:val="21"/>
              </w:rPr>
              <w:t>城市维护建设税税率如下：</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（一）纳税人所在地在市区的，税率为百分之七；</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（二）纳税人所在地在县城、镇的，税率为百分之五；</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（三）纳税人所在地不在市区、县城或者镇的，税率为百分之一。</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lastRenderedPageBreak/>
              <w:t>前款所称纳税人所在地，是指纳税人住所地或者与纳税人生产经营活动相关的其他地点，具体地点由省、自治区、直辖市确定。</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w w:val="90"/>
                <w:kern w:val="0"/>
                <w:szCs w:val="21"/>
                <w:lang w:eastAsia="ko-KR"/>
              </w:rPr>
            </w:pPr>
            <w:r w:rsidRPr="000860A4">
              <w:rPr>
                <w:rFonts w:ascii="SimSun" w:eastAsia="SimSun" w:hAnsi="SimSun" w:cs="SimSun" w:hint="eastAsia"/>
                <w:kern w:val="0"/>
                <w:szCs w:val="21"/>
              </w:rPr>
              <w:t>第五条</w:t>
            </w:r>
            <w:r w:rsidRPr="000860A4">
              <w:rPr>
                <w:rFonts w:ascii="SimSun" w:eastAsia="SimSun" w:hAnsi="SimSun" w:cs="SimSun" w:hint="eastAsia"/>
                <w:kern w:val="0"/>
                <w:szCs w:val="21"/>
              </w:rPr>
              <w:t> </w:t>
            </w:r>
            <w:r w:rsidRPr="000860A4">
              <w:rPr>
                <w:rFonts w:ascii="SimSun" w:eastAsia="SimSun" w:hAnsi="SimSun" w:cs="SimSun" w:hint="eastAsia"/>
                <w:w w:val="90"/>
                <w:kern w:val="0"/>
                <w:szCs w:val="21"/>
              </w:rPr>
              <w:t>城市维护建设税的应纳税额按照计税依据乘以具体适用税率计算。</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第六条</w:t>
            </w:r>
            <w:r w:rsidRPr="000860A4">
              <w:rPr>
                <w:rFonts w:ascii="SimSun" w:eastAsia="SimSun" w:hAnsi="SimSun" w:cs="SimSun" w:hint="eastAsia"/>
                <w:kern w:val="0"/>
                <w:szCs w:val="21"/>
              </w:rPr>
              <w:t> </w:t>
            </w:r>
            <w:r w:rsidRPr="000860A4">
              <w:rPr>
                <w:rFonts w:ascii="SimSun" w:eastAsia="SimSun" w:hAnsi="SimSun" w:cs="SimSun" w:hint="eastAsia"/>
                <w:kern w:val="0"/>
                <w:szCs w:val="21"/>
              </w:rPr>
              <w:t>根据国民经济和社会发展的需要，国务院对重大公共基础设施建设、特殊产业和群体以及重大突发事件应对等情形可以规定减征或者免征城市维护建设税，报全国人民代表大会常务委员会备案。</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第七条</w:t>
            </w:r>
            <w:r w:rsidRPr="000860A4">
              <w:rPr>
                <w:rFonts w:ascii="SimSun" w:eastAsia="SimSun" w:hAnsi="SimSun" w:cs="SimSun" w:hint="eastAsia"/>
                <w:kern w:val="0"/>
                <w:szCs w:val="21"/>
              </w:rPr>
              <w:t> </w:t>
            </w:r>
            <w:r w:rsidRPr="000860A4">
              <w:rPr>
                <w:rFonts w:ascii="SimSun" w:eastAsia="SimSun" w:hAnsi="SimSun" w:cs="SimSun" w:hint="eastAsia"/>
                <w:kern w:val="0"/>
                <w:szCs w:val="21"/>
              </w:rPr>
              <w:t>城市维护建设税的纳税义务发生时间与增值税、消费税的纳税义务发生时间一致，分别与增值税、消费税同时缴纳。</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第八条</w:t>
            </w:r>
            <w:r w:rsidRPr="000860A4">
              <w:rPr>
                <w:rFonts w:ascii="SimSun" w:eastAsia="SimSun" w:hAnsi="SimSun" w:cs="SimSun" w:hint="eastAsia"/>
                <w:kern w:val="0"/>
                <w:szCs w:val="21"/>
              </w:rPr>
              <w:t> </w:t>
            </w:r>
            <w:r w:rsidRPr="000860A4">
              <w:rPr>
                <w:rFonts w:ascii="SimSun" w:eastAsia="SimSun" w:hAnsi="SimSun" w:cs="SimSun" w:hint="eastAsia"/>
                <w:kern w:val="0"/>
                <w:szCs w:val="21"/>
              </w:rPr>
              <w:t>城市维护建设税的扣缴义务人为负有增值税、消费税扣缴义务的单位和个人，在扣缴增值税、消费税的同时扣缴城市维护建设税。</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第九条</w:t>
            </w:r>
            <w:r w:rsidRPr="000860A4">
              <w:rPr>
                <w:rFonts w:ascii="SimSun" w:eastAsia="SimSun" w:hAnsi="SimSun" w:cs="SimSun" w:hint="eastAsia"/>
                <w:kern w:val="0"/>
                <w:szCs w:val="21"/>
              </w:rPr>
              <w:t> </w:t>
            </w:r>
            <w:r w:rsidRPr="000860A4">
              <w:rPr>
                <w:rFonts w:ascii="SimSun" w:eastAsia="SimSun" w:hAnsi="SimSun" w:cs="SimSun" w:hint="eastAsia"/>
                <w:kern w:val="0"/>
                <w:szCs w:val="21"/>
              </w:rPr>
              <w:t>城市维护建设税由税务机关依照本法和《中华人民共和国税收征收管理法》的规定征收管理。</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0860A4" w:rsidRDefault="000860A4" w:rsidP="000860A4">
            <w:pPr>
              <w:widowControl/>
              <w:shd w:val="clear" w:color="auto" w:fill="FFFFFF"/>
              <w:snapToGrid w:val="0"/>
              <w:spacing w:line="300" w:lineRule="auto"/>
              <w:ind w:firstLineChars="200" w:firstLine="420"/>
              <w:jc w:val="left"/>
              <w:rPr>
                <w:rFonts w:ascii="SimSun" w:hAnsi="SimSun" w:cs="SimSun" w:hint="eastAsia"/>
                <w:kern w:val="0"/>
                <w:szCs w:val="21"/>
                <w:lang w:eastAsia="ko-KR"/>
              </w:rPr>
            </w:pPr>
            <w:r w:rsidRPr="000860A4">
              <w:rPr>
                <w:rFonts w:ascii="SimSun" w:eastAsia="SimSun" w:hAnsi="SimSun" w:cs="SimSun" w:hint="eastAsia"/>
                <w:kern w:val="0"/>
                <w:szCs w:val="21"/>
              </w:rPr>
              <w:t>第十条</w:t>
            </w:r>
            <w:r w:rsidRPr="000860A4">
              <w:rPr>
                <w:rFonts w:ascii="SimSun" w:eastAsia="SimSun" w:hAnsi="SimSun" w:cs="SimSun" w:hint="eastAsia"/>
                <w:kern w:val="0"/>
                <w:szCs w:val="21"/>
              </w:rPr>
              <w:t> </w:t>
            </w:r>
            <w:r w:rsidRPr="000860A4">
              <w:rPr>
                <w:rFonts w:ascii="SimSun" w:eastAsia="SimSun" w:hAnsi="SimSun" w:cs="SimSun" w:hint="eastAsia"/>
                <w:kern w:val="0"/>
                <w:szCs w:val="21"/>
              </w:rPr>
              <w:t>纳税人、税务机关及其工作人员违反本法规定的，依照《中华人民共和国税收征收管理法》和有关法律法规的规定追究法律责任。</w:t>
            </w:r>
          </w:p>
          <w:p w:rsidR="000860A4" w:rsidRPr="000860A4" w:rsidRDefault="000860A4" w:rsidP="000860A4">
            <w:pPr>
              <w:widowControl/>
              <w:shd w:val="clear" w:color="auto" w:fill="FFFFFF"/>
              <w:snapToGrid w:val="0"/>
              <w:spacing w:line="300" w:lineRule="auto"/>
              <w:ind w:firstLineChars="200" w:firstLine="420"/>
              <w:jc w:val="left"/>
              <w:rPr>
                <w:rFonts w:ascii="SimSun" w:hAnsi="SimSun" w:cs="SimSun"/>
                <w:kern w:val="0"/>
                <w:szCs w:val="21"/>
                <w:lang w:eastAsia="ko-KR"/>
              </w:rPr>
            </w:pPr>
          </w:p>
          <w:p w:rsidR="00DB5008" w:rsidRPr="000860A4" w:rsidRDefault="000860A4" w:rsidP="000860A4">
            <w:pPr>
              <w:widowControl/>
              <w:shd w:val="clear" w:color="auto" w:fill="FFFFFF"/>
              <w:snapToGrid w:val="0"/>
              <w:spacing w:line="300" w:lineRule="auto"/>
              <w:ind w:firstLineChars="200" w:firstLine="420"/>
              <w:jc w:val="left"/>
              <w:rPr>
                <w:spacing w:val="15"/>
                <w:szCs w:val="21"/>
              </w:rPr>
            </w:pPr>
            <w:r w:rsidRPr="000860A4">
              <w:rPr>
                <w:rFonts w:ascii="SimSun" w:eastAsia="SimSun" w:hAnsi="SimSun" w:cs="SimSun" w:hint="eastAsia"/>
                <w:kern w:val="0"/>
                <w:szCs w:val="21"/>
              </w:rPr>
              <w:t>第十一条</w:t>
            </w:r>
            <w:r w:rsidRPr="000860A4">
              <w:rPr>
                <w:rFonts w:ascii="SimSun" w:eastAsia="SimSun" w:hAnsi="SimSun" w:cs="SimSun" w:hint="eastAsia"/>
                <w:kern w:val="0"/>
                <w:szCs w:val="21"/>
              </w:rPr>
              <w:t> </w:t>
            </w:r>
            <w:r w:rsidRPr="000860A4">
              <w:rPr>
                <w:rFonts w:ascii="SimSun" w:eastAsia="SimSun" w:hAnsi="SimSun" w:cs="SimSun" w:hint="eastAsia"/>
                <w:kern w:val="0"/>
                <w:szCs w:val="21"/>
              </w:rPr>
              <w:t>本法自2021年9月1日起施行。1985年2月8日国务院发布的《中华人民共和国城市维护建设税暂行条例》同时废止。</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32" w:rsidRDefault="00CF7732" w:rsidP="00C278F4">
      <w:r>
        <w:separator/>
      </w:r>
    </w:p>
  </w:endnote>
  <w:endnote w:type="continuationSeparator" w:id="0">
    <w:p w:rsidR="00CF7732" w:rsidRDefault="00CF773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32" w:rsidRDefault="00CF7732" w:rsidP="00C278F4">
      <w:r>
        <w:separator/>
      </w:r>
    </w:p>
  </w:footnote>
  <w:footnote w:type="continuationSeparator" w:id="0">
    <w:p w:rsidR="00CF7732" w:rsidRDefault="00CF773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860A4"/>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CF7732"/>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DFC7-7AAE-48A3-8734-DEEE623C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432</Words>
  <Characters>1773</Characters>
  <Application>Microsoft Office Word</Application>
  <DocSecurity>0</DocSecurity>
  <Lines>88</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2020-08-18T09:03:00Z</dcterms:modified>
</cp:coreProperties>
</file>