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254"/>
        <w:gridCol w:w="4133"/>
      </w:tblGrid>
      <w:tr w:rsidR="00DB5008" w:rsidRPr="006448B0" w:rsidTr="007C1EE1">
        <w:tc>
          <w:tcPr>
            <w:tcW w:w="4785" w:type="dxa"/>
          </w:tcPr>
          <w:p w:rsidR="006448B0" w:rsidRPr="006448B0" w:rsidRDefault="006448B0" w:rsidP="006448B0">
            <w:pPr>
              <w:wordWrap w:val="0"/>
              <w:overflowPunct w:val="0"/>
              <w:topLinePunct/>
              <w:autoSpaceDN w:val="0"/>
              <w:spacing w:line="360" w:lineRule="auto"/>
              <w:ind w:firstLineChars="100" w:firstLine="255"/>
              <w:jc w:val="center"/>
              <w:rPr>
                <w:rFonts w:ascii="한컴바탕" w:eastAsia="한컴바탕" w:hAnsi="한컴바탕" w:cs="한컴바탕"/>
                <w:b/>
                <w:sz w:val="26"/>
                <w:szCs w:val="26"/>
                <w:lang w:eastAsia="ko-KR"/>
              </w:rPr>
            </w:pPr>
            <w:bookmarkStart w:id="0" w:name="_GoBack"/>
            <w:bookmarkEnd w:id="0"/>
            <w:r w:rsidRPr="006448B0">
              <w:rPr>
                <w:rFonts w:ascii="한컴바탕" w:eastAsia="한컴바탕" w:hAnsi="한컴바탕" w:cs="한컴바탕" w:hint="eastAsia"/>
                <w:b/>
                <w:sz w:val="26"/>
                <w:szCs w:val="26"/>
                <w:lang w:eastAsia="ko-KR"/>
              </w:rPr>
              <w:t>2</w:t>
            </w:r>
            <w:r w:rsidRPr="006448B0">
              <w:rPr>
                <w:rFonts w:ascii="한컴바탕" w:eastAsia="한컴바탕" w:hAnsi="한컴바탕" w:cs="한컴바탕"/>
                <w:b/>
                <w:sz w:val="26"/>
                <w:szCs w:val="26"/>
                <w:lang w:eastAsia="ko-KR"/>
              </w:rPr>
              <w:t>018</w:t>
            </w:r>
            <w:r w:rsidRPr="006448B0">
              <w:rPr>
                <w:rFonts w:ascii="한컴바탕" w:eastAsia="한컴바탕" w:hAnsi="한컴바탕" w:cs="한컴바탕" w:hint="eastAsia"/>
                <w:b/>
                <w:sz w:val="26"/>
                <w:szCs w:val="26"/>
                <w:lang w:eastAsia="ko-KR"/>
              </w:rPr>
              <w:t>년 제4분기 개인소득세 공제 비용과</w:t>
            </w:r>
            <w:r w:rsidRPr="006448B0">
              <w:rPr>
                <w:rFonts w:ascii="한컴바탕" w:eastAsia="한컴바탕" w:hAnsi="한컴바탕" w:cs="한컴바탕" w:hint="eastAsia"/>
                <w:b/>
                <w:sz w:val="26"/>
                <w:szCs w:val="26"/>
                <w:lang w:eastAsia="ko-KR"/>
              </w:rPr>
              <w:t xml:space="preserve"> </w:t>
            </w:r>
            <w:r w:rsidRPr="006448B0">
              <w:rPr>
                <w:rFonts w:ascii="한컴바탕" w:eastAsia="한컴바탕" w:hAnsi="한컴바탕" w:cs="한컴바탕" w:hint="eastAsia"/>
                <w:b/>
                <w:sz w:val="26"/>
                <w:szCs w:val="26"/>
                <w:lang w:eastAsia="ko-KR"/>
              </w:rPr>
              <w:t>세율 적용 문제에 관한 통지</w:t>
            </w:r>
          </w:p>
          <w:p w:rsidR="006448B0" w:rsidRPr="006448B0" w:rsidRDefault="006448B0" w:rsidP="006448B0">
            <w:pPr>
              <w:snapToGrid w:val="0"/>
              <w:spacing w:line="360" w:lineRule="auto"/>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재세[</w:t>
            </w:r>
            <w:r w:rsidRPr="006448B0">
              <w:rPr>
                <w:rFonts w:ascii="한컴바탕" w:eastAsia="한컴바탕" w:hAnsi="한컴바탕" w:cs="한컴바탕"/>
                <w:szCs w:val="21"/>
                <w:lang w:eastAsia="ko-KR"/>
              </w:rPr>
              <w:t>2018]98</w:t>
            </w:r>
            <w:r w:rsidRPr="006448B0">
              <w:rPr>
                <w:rFonts w:ascii="한컴바탕" w:eastAsia="한컴바탕" w:hAnsi="한컴바탕" w:cs="한컴바탕" w:hint="eastAsia"/>
                <w:szCs w:val="21"/>
                <w:lang w:eastAsia="ko-KR"/>
              </w:rPr>
              <w:t>호</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각 성,</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자치구,</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직할시,</w:t>
            </w:r>
            <w:r w:rsidRPr="006448B0">
              <w:rPr>
                <w:rFonts w:ascii="한컴바탕" w:eastAsia="한컴바탕" w:hAnsi="한컴바탕" w:cs="한컴바탕"/>
                <w:szCs w:val="21"/>
                <w:lang w:eastAsia="ko-KR"/>
              </w:rPr>
              <w:t xml:space="preserve"> </w:t>
            </w:r>
            <w:proofErr w:type="spellStart"/>
            <w:r w:rsidRPr="006448B0">
              <w:rPr>
                <w:rFonts w:ascii="한컴바탕" w:eastAsia="한컴바탕" w:hAnsi="한컴바탕" w:cs="한컴바탕" w:hint="eastAsia"/>
                <w:szCs w:val="21"/>
                <w:lang w:eastAsia="ko-KR"/>
              </w:rPr>
              <w:t>계획단열시</w:t>
            </w:r>
            <w:proofErr w:type="spellEnd"/>
            <w:r w:rsidRPr="006448B0">
              <w:rPr>
                <w:rFonts w:ascii="한컴바탕" w:eastAsia="한컴바탕" w:hAnsi="한컴바탕" w:cs="한컴바탕" w:hint="eastAsia"/>
                <w:szCs w:val="21"/>
                <w:lang w:eastAsia="ko-KR"/>
              </w:rPr>
              <w:t xml:space="preserve"> </w:t>
            </w:r>
            <w:proofErr w:type="spellStart"/>
            <w:r w:rsidRPr="006448B0">
              <w:rPr>
                <w:rFonts w:ascii="한컴바탕" w:eastAsia="한컴바탕" w:hAnsi="한컴바탕" w:cs="한컴바탕" w:hint="eastAsia"/>
                <w:szCs w:val="21"/>
                <w:lang w:eastAsia="ko-KR"/>
              </w:rPr>
              <w:t>재정청</w:t>
            </w:r>
            <w:proofErr w:type="spellEnd"/>
            <w:r w:rsidRPr="006448B0">
              <w:rPr>
                <w:rFonts w:ascii="한컴바탕" w:eastAsia="한컴바탕" w:hAnsi="한컴바탕" w:cs="한컴바탕" w:hint="eastAsia"/>
                <w:szCs w:val="21"/>
                <w:lang w:eastAsia="ko-KR"/>
              </w:rPr>
              <w:t>(국)</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국가세무총국 각 성,</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자치구,</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직할시,</w:t>
            </w:r>
            <w:r w:rsidRPr="006448B0">
              <w:rPr>
                <w:rFonts w:ascii="한컴바탕" w:eastAsia="한컴바탕" w:hAnsi="한컴바탕" w:cs="한컴바탕"/>
                <w:szCs w:val="21"/>
                <w:lang w:eastAsia="ko-KR"/>
              </w:rPr>
              <w:t xml:space="preserve"> </w:t>
            </w:r>
            <w:proofErr w:type="spellStart"/>
            <w:r w:rsidRPr="006448B0">
              <w:rPr>
                <w:rFonts w:ascii="한컴바탕" w:eastAsia="한컴바탕" w:hAnsi="한컴바탕" w:cs="한컴바탕" w:hint="eastAsia"/>
                <w:szCs w:val="21"/>
                <w:lang w:eastAsia="ko-KR"/>
              </w:rPr>
              <w:t>계획단열시</w:t>
            </w:r>
            <w:proofErr w:type="spellEnd"/>
            <w:r w:rsidRPr="006448B0">
              <w:rPr>
                <w:rFonts w:ascii="한컴바탕" w:eastAsia="한컴바탕" w:hAnsi="한컴바탕" w:cs="한컴바탕" w:hint="eastAsia"/>
                <w:szCs w:val="21"/>
                <w:lang w:eastAsia="ko-KR"/>
              </w:rPr>
              <w:t xml:space="preserve"> </w:t>
            </w:r>
            <w:proofErr w:type="spellStart"/>
            <w:r w:rsidRPr="006448B0">
              <w:rPr>
                <w:rFonts w:ascii="한컴바탕" w:eastAsia="한컴바탕" w:hAnsi="한컴바탕" w:cs="한컴바탕" w:hint="eastAsia"/>
                <w:szCs w:val="21"/>
                <w:lang w:eastAsia="ko-KR"/>
              </w:rPr>
              <w:t>세무국</w:t>
            </w:r>
            <w:proofErr w:type="spellEnd"/>
            <w:r w:rsidRPr="006448B0">
              <w:rPr>
                <w:rFonts w:ascii="한컴바탕" w:eastAsia="한컴바탕" w:hAnsi="한컴바탕" w:cs="한컴바탕" w:hint="eastAsia"/>
                <w:szCs w:val="21"/>
                <w:lang w:eastAsia="ko-KR"/>
              </w:rPr>
              <w:t>,</w:t>
            </w:r>
            <w:r w:rsidRPr="006448B0">
              <w:rPr>
                <w:rFonts w:ascii="한컴바탕" w:eastAsia="한컴바탕" w:hAnsi="한컴바탕" w:cs="한컴바탕"/>
                <w:szCs w:val="21"/>
                <w:lang w:eastAsia="ko-KR"/>
              </w:rPr>
              <w:t xml:space="preserve"> </w:t>
            </w:r>
            <w:proofErr w:type="spellStart"/>
            <w:r w:rsidRPr="006448B0">
              <w:rPr>
                <w:rFonts w:ascii="한컴바탕" w:eastAsia="한컴바탕" w:hAnsi="한컴바탕" w:cs="한컴바탕" w:hint="eastAsia"/>
                <w:szCs w:val="21"/>
                <w:lang w:eastAsia="ko-KR"/>
              </w:rPr>
              <w:t>신강생산걸설병단</w:t>
            </w:r>
            <w:proofErr w:type="spellEnd"/>
            <w:r w:rsidRPr="006448B0">
              <w:rPr>
                <w:rFonts w:ascii="한컴바탕" w:eastAsia="한컴바탕" w:hAnsi="한컴바탕" w:cs="한컴바탕" w:hint="eastAsia"/>
                <w:szCs w:val="21"/>
                <w:lang w:eastAsia="ko-KR"/>
              </w:rPr>
              <w:t xml:space="preserve"> </w:t>
            </w:r>
            <w:proofErr w:type="spellStart"/>
            <w:r w:rsidRPr="006448B0">
              <w:rPr>
                <w:rFonts w:ascii="한컴바탕" w:eastAsia="한컴바탕" w:hAnsi="한컴바탕" w:cs="한컴바탕" w:hint="eastAsia"/>
                <w:szCs w:val="21"/>
                <w:lang w:eastAsia="ko-KR"/>
              </w:rPr>
              <w:t>재정국</w:t>
            </w:r>
            <w:proofErr w:type="spellEnd"/>
            <w:r w:rsidRPr="006448B0">
              <w:rPr>
                <w:rFonts w:ascii="한컴바탕" w:eastAsia="한컴바탕" w:hAnsi="한컴바탕" w:cs="한컴바탕" w:hint="eastAsia"/>
                <w:szCs w:val="21"/>
                <w:lang w:eastAsia="ko-KR"/>
              </w:rPr>
              <w:t>:</w:t>
            </w:r>
            <w:r w:rsidRPr="006448B0">
              <w:rPr>
                <w:rFonts w:ascii="한컴바탕" w:eastAsia="한컴바탕" w:hAnsi="한컴바탕" w:cs="한컴바탕"/>
                <w:szCs w:val="21"/>
                <w:lang w:eastAsia="ko-KR"/>
              </w:rPr>
              <w:t xml:space="preserve"> </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제1</w:t>
            </w:r>
            <w:r w:rsidRPr="006448B0">
              <w:rPr>
                <w:rFonts w:ascii="한컴바탕" w:eastAsia="한컴바탕" w:hAnsi="한컴바탕" w:cs="한컴바탕"/>
                <w:szCs w:val="21"/>
                <w:lang w:eastAsia="ko-KR"/>
              </w:rPr>
              <w:t>3</w:t>
            </w:r>
            <w:r w:rsidRPr="006448B0">
              <w:rPr>
                <w:rFonts w:ascii="한컴바탕" w:eastAsia="한컴바탕" w:hAnsi="한컴바탕" w:cs="한컴바탕" w:hint="eastAsia"/>
                <w:szCs w:val="21"/>
                <w:lang w:eastAsia="ko-KR"/>
              </w:rPr>
              <w:t>기 전국인민대표대회 상무위원회 제5차 회의 심의를 통과한《전국인민대표대회 상무위원회의 &lt;중화인민공화국 개인소득세법&gt;</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개정에 관한 결정》에 근거</w:t>
            </w:r>
            <w:r w:rsidRPr="006448B0">
              <w:rPr>
                <w:rFonts w:ascii="한컴바탕" w:eastAsia="한컴바탕" w:hAnsi="한컴바탕" w:cs="한컴바탕"/>
                <w:szCs w:val="21"/>
                <w:lang w:eastAsia="ko-KR"/>
              </w:rPr>
              <w:t>, 2018</w:t>
            </w:r>
            <w:r w:rsidRPr="006448B0">
              <w:rPr>
                <w:rFonts w:ascii="한컴바탕" w:eastAsia="한컴바탕" w:hAnsi="한컴바탕" w:cs="한컴바탕" w:hint="eastAsia"/>
                <w:szCs w:val="21"/>
                <w:lang w:eastAsia="ko-KR"/>
              </w:rPr>
              <w:t>년 제4분기 납세자 적용 개인소득세 공제 비용과 세율 유관 문제에 관하여 다음과 같이 통지한다.</w:t>
            </w:r>
            <w:r w:rsidRPr="006448B0">
              <w:rPr>
                <w:rFonts w:ascii="한컴바탕" w:eastAsia="한컴바탕" w:hAnsi="한컴바탕" w:cs="한컴바탕"/>
                <w:szCs w:val="21"/>
                <w:lang w:eastAsia="ko-KR"/>
              </w:rPr>
              <w:t xml:space="preserve"> </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임금 및 급여 소득에 관한 적용 공제 비용과 세율 문제</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 xml:space="preserve">납세자는 </w:t>
            </w:r>
            <w:r w:rsidRPr="006448B0">
              <w:rPr>
                <w:rFonts w:ascii="한컴바탕" w:eastAsia="한컴바탕" w:hAnsi="한컴바탕" w:cs="한컴바탕"/>
                <w:szCs w:val="21"/>
                <w:lang w:eastAsia="ko-KR"/>
              </w:rPr>
              <w:t>2018</w:t>
            </w:r>
            <w:r w:rsidRPr="006448B0">
              <w:rPr>
                <w:rFonts w:ascii="한컴바탕" w:eastAsia="한컴바탕" w:hAnsi="한컴바탕" w:cs="한컴바탕" w:hint="eastAsia"/>
                <w:szCs w:val="21"/>
                <w:lang w:eastAsia="ko-KR"/>
              </w:rPr>
              <w:t xml:space="preserve">년 </w:t>
            </w:r>
            <w:r w:rsidRPr="006448B0">
              <w:rPr>
                <w:rFonts w:ascii="한컴바탕" w:eastAsia="한컴바탕" w:hAnsi="한컴바탕" w:cs="한컴바탕"/>
                <w:szCs w:val="21"/>
                <w:lang w:eastAsia="ko-KR"/>
              </w:rPr>
              <w:t>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일</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포함)</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후 실제 취득한 임금 및 급여 소득은 공제 비용을 일괄적으로 </w:t>
            </w:r>
            <w:r w:rsidRPr="006448B0">
              <w:rPr>
                <w:rFonts w:ascii="한컴바탕" w:eastAsia="한컴바탕" w:hAnsi="한컴바탕" w:cs="한컴바탕"/>
                <w:szCs w:val="21"/>
                <w:lang w:eastAsia="ko-KR"/>
              </w:rPr>
              <w:t>5,000</w:t>
            </w:r>
            <w:r w:rsidRPr="006448B0">
              <w:rPr>
                <w:rFonts w:ascii="한컴바탕" w:eastAsia="한컴바탕" w:hAnsi="한컴바탕" w:cs="한컴바탕" w:hint="eastAsia"/>
                <w:szCs w:val="21"/>
                <w:lang w:eastAsia="ko-KR"/>
              </w:rPr>
              <w:t>위안/월에 맞춰 집행하며</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본 통지에 첨부한 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1</w:t>
            </w:r>
            <w:proofErr w:type="gramStart"/>
            <w:r w:rsidRPr="006448B0">
              <w:rPr>
                <w:rFonts w:ascii="한컴바탕" w:eastAsia="한컴바탕" w:hAnsi="한컴바탕" w:cs="한컴바탕" w:hint="eastAsia"/>
                <w:szCs w:val="21"/>
                <w:lang w:eastAsia="ko-KR"/>
              </w:rPr>
              <w:t>.에</w:t>
            </w:r>
            <w:proofErr w:type="gramEnd"/>
            <w:r w:rsidRPr="006448B0">
              <w:rPr>
                <w:rFonts w:ascii="한컴바탕" w:eastAsia="한컴바탕" w:hAnsi="한컴바탕" w:cs="한컴바탕" w:hint="eastAsia"/>
                <w:szCs w:val="21"/>
                <w:lang w:eastAsia="ko-KR"/>
              </w:rPr>
              <w:t xml:space="preserve"> 따라 과세액을 계산한다.</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납세자가 </w:t>
            </w:r>
            <w:r w:rsidRPr="006448B0">
              <w:rPr>
                <w:rFonts w:ascii="한컴바탕" w:eastAsia="한컴바탕" w:hAnsi="한컴바탕" w:cs="한컴바탕"/>
                <w:szCs w:val="21"/>
                <w:lang w:eastAsia="ko-KR"/>
              </w:rPr>
              <w:t>2018</w:t>
            </w:r>
            <w:r w:rsidRPr="006448B0">
              <w:rPr>
                <w:rFonts w:ascii="한컴바탕" w:eastAsia="한컴바탕" w:hAnsi="한컴바탕" w:cs="한컴바탕" w:hint="eastAsia"/>
                <w:szCs w:val="21"/>
                <w:lang w:eastAsia="ko-KR"/>
              </w:rPr>
              <w:t xml:space="preserve">년 </w:t>
            </w:r>
            <w:r w:rsidRPr="006448B0">
              <w:rPr>
                <w:rFonts w:ascii="한컴바탕" w:eastAsia="한컴바탕" w:hAnsi="한컴바탕" w:cs="한컴바탕"/>
                <w:szCs w:val="21"/>
                <w:lang w:eastAsia="ko-KR"/>
              </w:rPr>
              <w:t>9</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30</w:t>
            </w:r>
            <w:r w:rsidRPr="006448B0">
              <w:rPr>
                <w:rFonts w:ascii="한컴바탕" w:eastAsia="한컴바탕" w:hAnsi="한컴바탕" w:cs="한컴바탕" w:hint="eastAsia"/>
                <w:szCs w:val="21"/>
                <w:lang w:eastAsia="ko-KR"/>
              </w:rPr>
              <w:t>일(포함)전 실제 취득한 임금 및 급여 소득에 대해서는 공제 비용을 세법 개정 전 규정에 맞춰 집행한다.</w:t>
            </w:r>
            <w:r w:rsidRPr="006448B0">
              <w:rPr>
                <w:rFonts w:ascii="한컴바탕" w:eastAsia="한컴바탕" w:hAnsi="한컴바탕" w:cs="한컴바탕"/>
                <w:szCs w:val="21"/>
                <w:lang w:eastAsia="ko-KR"/>
              </w:rPr>
              <w:t xml:space="preserve"> </w:t>
            </w:r>
          </w:p>
          <w:p w:rsidR="006448B0" w:rsidRPr="006448B0" w:rsidRDefault="006448B0" w:rsidP="006448B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 xml:space="preserve">. </w:t>
            </w:r>
            <w:proofErr w:type="spellStart"/>
            <w:r w:rsidRPr="006448B0">
              <w:rPr>
                <w:rFonts w:ascii="한컴바탕" w:eastAsia="한컴바탕" w:hAnsi="한컴바탕" w:cs="한컴바탕" w:hint="eastAsia"/>
                <w:szCs w:val="21"/>
                <w:lang w:eastAsia="ko-KR"/>
              </w:rPr>
              <w:t>개체공상호</w:t>
            </w:r>
            <w:proofErr w:type="spellEnd"/>
            <w:r w:rsidRPr="006448B0">
              <w:rPr>
                <w:rFonts w:ascii="한컴바탕" w:eastAsia="한컴바탕" w:hAnsi="한컴바탕" w:cs="한컴바탕" w:hint="eastAsia"/>
                <w:szCs w:val="21"/>
                <w:lang w:eastAsia="ko-KR"/>
              </w:rPr>
              <w:t>(</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번역자 주:</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개인사업자</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 업주 및 개인 독자기업과 합명기업 자연인 투자자 및 기업·사업단위 도급·임차 경영자의 생산경영소득 과세방법에 관한 문제 </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 xml:space="preserve">.1 </w:t>
            </w:r>
            <w:proofErr w:type="spellStart"/>
            <w:r w:rsidRPr="006448B0">
              <w:rPr>
                <w:rFonts w:ascii="한컴바탕" w:eastAsia="한컴바탕" w:hAnsi="한컴바탕" w:cs="한컴바탕" w:hint="eastAsia"/>
                <w:szCs w:val="21"/>
                <w:lang w:eastAsia="ko-KR"/>
              </w:rPr>
              <w:t>개체공상호</w:t>
            </w:r>
            <w:proofErr w:type="spellEnd"/>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업주,</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개인 독자기업과 합명기업 자연인 투자자</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기업·사업단위 도급·임차 경영자가 </w:t>
            </w:r>
            <w:r w:rsidRPr="006448B0">
              <w:rPr>
                <w:rFonts w:ascii="한컴바탕" w:eastAsia="한컴바탕" w:hAnsi="한컴바탕" w:cs="한컴바탕"/>
                <w:szCs w:val="21"/>
                <w:lang w:eastAsia="ko-KR"/>
              </w:rPr>
              <w:t>2018</w:t>
            </w:r>
            <w:r w:rsidRPr="006448B0">
              <w:rPr>
                <w:rFonts w:ascii="한컴바탕" w:eastAsia="한컴바탕" w:hAnsi="한컴바탕" w:cs="한컴바탕" w:hint="eastAsia"/>
                <w:szCs w:val="21"/>
                <w:lang w:eastAsia="ko-KR"/>
              </w:rPr>
              <w:t>년 제4분기에 취득한 생산경영소득은</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공제 비용을 </w:t>
            </w:r>
            <w:r w:rsidRPr="006448B0">
              <w:rPr>
                <w:rFonts w:ascii="한컴바탕" w:eastAsia="한컴바탕" w:hAnsi="한컴바탕" w:cs="한컴바탕"/>
                <w:szCs w:val="21"/>
                <w:lang w:eastAsia="ko-KR"/>
              </w:rPr>
              <w:t>5,000</w:t>
            </w:r>
            <w:r w:rsidRPr="006448B0">
              <w:rPr>
                <w:rFonts w:ascii="한컴바탕" w:eastAsia="한컴바탕" w:hAnsi="한컴바탕" w:cs="한컴바탕" w:hint="eastAsia"/>
                <w:szCs w:val="21"/>
                <w:lang w:eastAsia="ko-KR"/>
              </w:rPr>
              <w:t>위안/월로 집행하고,</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전(前</w:t>
            </w:r>
            <w:r w:rsidRPr="006448B0">
              <w:rPr>
                <w:rFonts w:ascii="한컴바탕" w:eastAsia="한컴바탕" w:hAnsi="한컴바탕" w:cs="한컴바탕"/>
                <w:szCs w:val="21"/>
                <w:lang w:eastAsia="ko-KR"/>
              </w:rPr>
              <w:t>) 3</w:t>
            </w:r>
            <w:r w:rsidRPr="006448B0">
              <w:rPr>
                <w:rFonts w:ascii="한컴바탕" w:eastAsia="한컴바탕" w:hAnsi="한컴바탕" w:cs="한컴바탕" w:hint="eastAsia"/>
                <w:szCs w:val="21"/>
                <w:lang w:eastAsia="ko-KR"/>
              </w:rPr>
              <w:t xml:space="preserve">분기 공제비용은 </w:t>
            </w:r>
            <w:r w:rsidRPr="006448B0">
              <w:rPr>
                <w:rFonts w:ascii="한컴바탕" w:eastAsia="한컴바탕" w:hAnsi="한컴바탕" w:cs="한컴바탕"/>
                <w:szCs w:val="21"/>
                <w:lang w:eastAsia="ko-KR"/>
              </w:rPr>
              <w:t>3,500</w:t>
            </w:r>
            <w:r w:rsidRPr="006448B0">
              <w:rPr>
                <w:rFonts w:ascii="한컴바탕" w:eastAsia="한컴바탕" w:hAnsi="한컴바탕" w:cs="한컴바탕" w:hint="eastAsia"/>
                <w:szCs w:val="21"/>
                <w:lang w:eastAsia="ko-KR"/>
              </w:rPr>
              <w:t>위안/월에 맞춰 집행한다.</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 xml:space="preserve">.2 </w:t>
            </w:r>
            <w:proofErr w:type="spellStart"/>
            <w:r w:rsidRPr="006448B0">
              <w:rPr>
                <w:rFonts w:ascii="한컴바탕" w:eastAsia="한컴바탕" w:hAnsi="한컴바탕" w:cs="한컴바탕" w:hint="eastAsia"/>
                <w:szCs w:val="21"/>
                <w:lang w:eastAsia="ko-KR"/>
              </w:rPr>
              <w:t>개체공상호</w:t>
            </w:r>
            <w:proofErr w:type="spellEnd"/>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업주,</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개인 독자기업과 합명기업 자연인 투자자</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기업·사업단위 도급·임차 경영자가 </w:t>
            </w:r>
            <w:r w:rsidRPr="006448B0">
              <w:rPr>
                <w:rFonts w:ascii="한컴바탕" w:eastAsia="한컴바탕" w:hAnsi="한컴바탕" w:cs="한컴바탕"/>
                <w:szCs w:val="21"/>
                <w:lang w:eastAsia="ko-KR"/>
              </w:rPr>
              <w:t>2018</w:t>
            </w:r>
            <w:r w:rsidRPr="006448B0">
              <w:rPr>
                <w:rFonts w:ascii="한컴바탕" w:eastAsia="한컴바탕" w:hAnsi="한컴바탕" w:cs="한컴바탕" w:hint="eastAsia"/>
                <w:szCs w:val="21"/>
                <w:lang w:eastAsia="ko-KR"/>
              </w:rPr>
              <w:t>년 취득한 생산경영소득은 월 과세 소득액을 전(前</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 3분기 납부 세액과 제4분기 납부 세액으로 구분하여 계산하고 그 중, 전(前</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3</w:t>
            </w:r>
            <w:r w:rsidRPr="006448B0">
              <w:rPr>
                <w:rFonts w:ascii="한컴바탕" w:eastAsia="한컴바탕" w:hAnsi="한컴바탕" w:cs="한컴바탕" w:hint="eastAsia"/>
                <w:szCs w:val="21"/>
                <w:lang w:eastAsia="ko-KR"/>
              </w:rPr>
              <w:t>분기 납부 세액은 세법 개정 전 규정된 세율과 전(前</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3</w:t>
            </w:r>
            <w:r w:rsidRPr="006448B0">
              <w:rPr>
                <w:rFonts w:ascii="한컴바탕" w:eastAsia="한컴바탕" w:hAnsi="한컴바탕" w:cs="한컴바탕" w:hint="eastAsia"/>
                <w:szCs w:val="21"/>
                <w:lang w:eastAsia="ko-KR"/>
              </w:rPr>
              <w:t>분기 실제 경영 월간 가중치에 따라 계산하며,</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제4분기 납부 세액은 본 통지에 첨부한 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2</w:t>
            </w:r>
            <w:proofErr w:type="gramStart"/>
            <w:r w:rsidRPr="006448B0">
              <w:rPr>
                <w:rFonts w:ascii="한컴바탕" w:eastAsia="한컴바탕" w:hAnsi="한컴바탕" w:cs="한컴바탕"/>
                <w:szCs w:val="21"/>
                <w:lang w:eastAsia="ko-KR"/>
              </w:rPr>
              <w:t>.(</w:t>
            </w:r>
            <w:proofErr w:type="gramEnd"/>
            <w:r w:rsidRPr="006448B0">
              <w:rPr>
                <w:rFonts w:ascii="한컴바탕" w:eastAsia="한컴바탕" w:hAnsi="한컴바탕" w:cs="한컴바탕" w:hint="eastAsia"/>
                <w:szCs w:val="21"/>
                <w:lang w:eastAsia="ko-KR"/>
              </w:rPr>
              <w:t>이하 세법 개정 후 규정된 세율</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와 제4분기 실제 경영 월간 가중치에 따라 계산한다.</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구체적인 계산 방법은 다음과 같다.</w:t>
            </w:r>
            <w:r w:rsidRPr="006448B0">
              <w:rPr>
                <w:rFonts w:ascii="한컴바탕" w:eastAsia="한컴바탕" w:hAnsi="한컴바탕" w:cs="한컴바탕"/>
                <w:szCs w:val="21"/>
                <w:lang w:eastAsia="ko-KR"/>
              </w:rPr>
              <w:t xml:space="preserve"> </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300" w:firstLine="630"/>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2.2.</w:t>
            </w:r>
            <w:r w:rsidRPr="006448B0">
              <w:rPr>
                <w:rFonts w:ascii="한컴바탕" w:eastAsia="한컴바탕" w:hAnsi="한컴바탕" w:cs="한컴바탕" w:hint="eastAsia"/>
                <w:szCs w:val="21"/>
                <w:lang w:eastAsia="ko-KR"/>
              </w:rPr>
              <w:t>1</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월(분기)</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예납 세액의 계산</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300" w:firstLine="63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 xml:space="preserve">당기 납부 세액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누적 납부 세액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누적 기 납부 세액</w:t>
            </w: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300" w:firstLine="63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 xml:space="preserve">누적 납부 세액 </w:t>
            </w:r>
            <w:r w:rsidRPr="006448B0">
              <w:rPr>
                <w:rFonts w:ascii="한컴바탕" w:eastAsia="한컴바탕" w:hAnsi="한컴바탕" w:cs="한컴바탕"/>
                <w:szCs w:val="21"/>
                <w:lang w:eastAsia="ko-KR"/>
              </w:rPr>
              <w:t>= 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 xml:space="preserve">일 이전 납부 세액 </w:t>
            </w:r>
            <w:r w:rsidRPr="006448B0">
              <w:rPr>
                <w:rFonts w:ascii="한컴바탕" w:eastAsia="한컴바탕" w:hAnsi="한컴바탕" w:cs="한컴바탕"/>
                <w:szCs w:val="21"/>
                <w:lang w:eastAsia="ko-KR"/>
              </w:rPr>
              <w:t>+ 10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 xml:space="preserve">일 이후 납부 세액 </w:t>
            </w: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 xml:space="preserve">일 이전 납부 세액 </w:t>
            </w:r>
            <w:r w:rsidRPr="006448B0">
              <w:rPr>
                <w:rFonts w:ascii="한컴바탕" w:eastAsia="한컴바탕" w:hAnsi="한컴바탕" w:cs="한컴바탕"/>
                <w:szCs w:val="21"/>
                <w:lang w:eastAsia="ko-KR"/>
              </w:rPr>
              <w:t>= (</w:t>
            </w:r>
            <w:r w:rsidRPr="006448B0">
              <w:rPr>
                <w:rFonts w:ascii="한컴바탕" w:eastAsia="한컴바탕" w:hAnsi="한컴바탕" w:cs="한컴바탕" w:hint="eastAsia"/>
                <w:szCs w:val="21"/>
                <w:lang w:eastAsia="ko-KR"/>
              </w:rPr>
              <w:t xml:space="preserve">누적 과세 소득액 × 세법 개정 전 규정한 세율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세법 개정 전 규정한 속산공제액)</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 xml:space="preserve">일 이전 실제 경영 월간 금액 ÷ 누적 실제 경영 월간 금액 </w:t>
            </w:r>
          </w:p>
          <w:p w:rsidR="006448B0" w:rsidRPr="006448B0" w:rsidRDefault="006448B0" w:rsidP="006448B0">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 xml:space="preserve">일 이후 납부 세액 </w:t>
            </w:r>
            <w:r w:rsidRPr="006448B0">
              <w:rPr>
                <w:rFonts w:ascii="한컴바탕" w:eastAsia="한컴바탕" w:hAnsi="한컴바탕" w:cs="한컴바탕"/>
                <w:szCs w:val="21"/>
                <w:lang w:eastAsia="ko-KR"/>
              </w:rPr>
              <w:t>= (</w:t>
            </w:r>
            <w:r w:rsidRPr="006448B0">
              <w:rPr>
                <w:rFonts w:ascii="한컴바탕" w:eastAsia="한컴바탕" w:hAnsi="한컴바탕" w:cs="한컴바탕" w:hint="eastAsia"/>
                <w:szCs w:val="21"/>
                <w:lang w:eastAsia="ko-KR"/>
              </w:rPr>
              <w:t xml:space="preserve">누적 과세 소득액 × 세법 개정 후 규정한 세율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세법 개정 후 규정한 속산공제액)</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 xml:space="preserve">일 이후 실제 경영 월간 금액 ÷ 누적 실제 경영 월간 금액 </w:t>
            </w:r>
          </w:p>
          <w:p w:rsidR="006448B0" w:rsidRPr="006448B0" w:rsidRDefault="006448B0" w:rsidP="006448B0">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300" w:firstLine="630"/>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2.</w:t>
            </w: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 xml:space="preserve">.2. </w:t>
            </w:r>
            <w:r w:rsidRPr="006448B0">
              <w:rPr>
                <w:rFonts w:ascii="한컴바탕" w:eastAsia="한컴바탕" w:hAnsi="한컴바탕" w:cs="한컴바탕" w:hint="eastAsia"/>
                <w:szCs w:val="21"/>
                <w:lang w:eastAsia="ko-KR"/>
              </w:rPr>
              <w:t xml:space="preserve">연도 종합 완납 세액의 계산 </w:t>
            </w: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 xml:space="preserve">종합 추가 </w:t>
            </w:r>
            <w:proofErr w:type="spellStart"/>
            <w:r w:rsidRPr="006448B0">
              <w:rPr>
                <w:rFonts w:ascii="한컴바탕" w:eastAsia="한컴바탕" w:hAnsi="한컴바탕" w:cs="한컴바탕" w:hint="eastAsia"/>
                <w:szCs w:val="21"/>
                <w:lang w:eastAsia="ko-KR"/>
              </w:rPr>
              <w:t>퇴세</w:t>
            </w:r>
            <w:proofErr w:type="spellEnd"/>
            <w:r w:rsidRPr="006448B0">
              <w:rPr>
                <w:rFonts w:ascii="한컴바탕" w:eastAsia="한컴바탕" w:hAnsi="한컴바탕" w:cs="한컴바탕" w:hint="eastAsia"/>
                <w:szCs w:val="21"/>
                <w:lang w:eastAsia="ko-KR"/>
              </w:rPr>
              <w:t>(</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번역자 주:</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환급</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액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연간 납부 세액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누적 기 납부 세액</w:t>
            </w: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lastRenderedPageBreak/>
              <w:t xml:space="preserve">연간 납부 세액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전(前</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3</w:t>
            </w:r>
            <w:r w:rsidRPr="006448B0">
              <w:rPr>
                <w:rFonts w:ascii="한컴바탕" w:eastAsia="한컴바탕" w:hAnsi="한컴바탕" w:cs="한컴바탕" w:hint="eastAsia"/>
                <w:szCs w:val="21"/>
                <w:lang w:eastAsia="ko-KR"/>
              </w:rPr>
              <w:t xml:space="preserve">분기 납부 세액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제</w:t>
            </w:r>
            <w:r w:rsidRPr="006448B0">
              <w:rPr>
                <w:rFonts w:ascii="한컴바탕" w:eastAsia="한컴바탕" w:hAnsi="한컴바탕" w:cs="한컴바탕"/>
                <w:szCs w:val="21"/>
                <w:lang w:eastAsia="ko-KR"/>
              </w:rPr>
              <w:t>4</w:t>
            </w:r>
            <w:r w:rsidRPr="006448B0">
              <w:rPr>
                <w:rFonts w:ascii="한컴바탕" w:eastAsia="한컴바탕" w:hAnsi="한컴바탕" w:cs="한컴바탕" w:hint="eastAsia"/>
                <w:szCs w:val="21"/>
                <w:lang w:eastAsia="ko-KR"/>
              </w:rPr>
              <w:t>분기 납부 세액</w:t>
            </w: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전(前</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3</w:t>
            </w:r>
            <w:r w:rsidRPr="006448B0">
              <w:rPr>
                <w:rFonts w:ascii="한컴바탕" w:eastAsia="한컴바탕" w:hAnsi="한컴바탕" w:cs="한컴바탕" w:hint="eastAsia"/>
                <w:szCs w:val="21"/>
                <w:lang w:eastAsia="ko-KR"/>
              </w:rPr>
              <w:t xml:space="preserve">분기 납부 세액 </w:t>
            </w:r>
            <w:r w:rsidRPr="006448B0">
              <w:rPr>
                <w:rFonts w:ascii="한컴바탕" w:eastAsia="한컴바탕" w:hAnsi="한컴바탕" w:cs="한컴바탕"/>
                <w:szCs w:val="21"/>
                <w:lang w:eastAsia="ko-KR"/>
              </w:rPr>
              <w:t>= (</w:t>
            </w:r>
            <w:r w:rsidRPr="006448B0">
              <w:rPr>
                <w:rFonts w:ascii="한컴바탕" w:eastAsia="한컴바탕" w:hAnsi="한컴바탕" w:cs="한컴바탕" w:hint="eastAsia"/>
                <w:szCs w:val="21"/>
                <w:lang w:eastAsia="ko-KR"/>
              </w:rPr>
              <w:t xml:space="preserve">연간 과세 소득액 × 세법 개정 전 규정한 세율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세법 개정 전 규정한 속산공제액)</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전(前</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 </w:t>
            </w:r>
            <w:r w:rsidRPr="006448B0">
              <w:rPr>
                <w:rFonts w:ascii="한컴바탕" w:eastAsia="한컴바탕" w:hAnsi="한컴바탕" w:cs="한컴바탕"/>
                <w:szCs w:val="21"/>
                <w:lang w:eastAsia="ko-KR"/>
              </w:rPr>
              <w:t>3</w:t>
            </w:r>
            <w:r w:rsidRPr="006448B0">
              <w:rPr>
                <w:rFonts w:ascii="한컴바탕" w:eastAsia="한컴바탕" w:hAnsi="한컴바탕" w:cs="한컴바탕" w:hint="eastAsia"/>
                <w:szCs w:val="21"/>
                <w:lang w:eastAsia="ko-KR"/>
              </w:rPr>
              <w:t>분기 실제 경영 월간 금액 ÷ 연간 실제 경영 월간 금액</w:t>
            </w:r>
          </w:p>
          <w:p w:rsidR="006448B0" w:rsidRPr="006448B0" w:rsidRDefault="006448B0" w:rsidP="006448B0">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제</w:t>
            </w:r>
            <w:r w:rsidRPr="006448B0">
              <w:rPr>
                <w:rFonts w:ascii="한컴바탕" w:eastAsia="한컴바탕" w:hAnsi="한컴바탕" w:cs="한컴바탕"/>
                <w:szCs w:val="21"/>
                <w:lang w:eastAsia="ko-KR"/>
              </w:rPr>
              <w:t>4</w:t>
            </w:r>
            <w:r w:rsidRPr="006448B0">
              <w:rPr>
                <w:rFonts w:ascii="한컴바탕" w:eastAsia="한컴바탕" w:hAnsi="한컴바탕" w:cs="한컴바탕" w:hint="eastAsia"/>
                <w:szCs w:val="21"/>
                <w:lang w:eastAsia="ko-KR"/>
              </w:rPr>
              <w:t xml:space="preserve">분기 납부 세액 </w:t>
            </w:r>
            <w:r w:rsidRPr="006448B0">
              <w:rPr>
                <w:rFonts w:ascii="한컴바탕" w:eastAsia="한컴바탕" w:hAnsi="한컴바탕" w:cs="한컴바탕"/>
                <w:szCs w:val="21"/>
                <w:lang w:eastAsia="ko-KR"/>
              </w:rPr>
              <w:t>= (</w:t>
            </w:r>
            <w:r w:rsidRPr="006448B0">
              <w:rPr>
                <w:rFonts w:ascii="한컴바탕" w:eastAsia="한컴바탕" w:hAnsi="한컴바탕" w:cs="한컴바탕" w:hint="eastAsia"/>
                <w:szCs w:val="21"/>
                <w:lang w:eastAsia="ko-KR"/>
              </w:rPr>
              <w:t xml:space="preserve">연간 과세 소득액 × 세법 개정 후 규정한 세율 </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세법 개정 후 규정한 속산공제액)</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제4분기 실제 경영 월간 금액 ÷ 연간 실제 경영 월간 금액</w:t>
            </w:r>
          </w:p>
          <w:p w:rsidR="006448B0" w:rsidRPr="006448B0" w:rsidRDefault="006448B0" w:rsidP="006448B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w:t>
            </w:r>
            <w:r w:rsidRPr="006448B0">
              <w:rPr>
                <w:rFonts w:ascii="한컴바탕" w:eastAsia="한컴바탕" w:hAnsi="한컴바탕" w:cs="한컴바탕"/>
                <w:szCs w:val="21"/>
                <w:lang w:eastAsia="ko-KR"/>
              </w:rPr>
              <w:t>. &lt;</w:t>
            </w:r>
            <w:proofErr w:type="spellStart"/>
            <w:r w:rsidRPr="006448B0">
              <w:rPr>
                <w:rFonts w:ascii="한컴바탕" w:eastAsia="한컴바탕" w:hAnsi="한컴바탕" w:cs="한컴바탕" w:hint="eastAsia"/>
                <w:szCs w:val="21"/>
                <w:lang w:eastAsia="ko-KR"/>
              </w:rPr>
              <w:t>재정부</w:t>
            </w:r>
            <w:proofErr w:type="spellEnd"/>
            <w:r w:rsidRPr="006448B0">
              <w:rPr>
                <w:rFonts w:ascii="한컴바탕" w:eastAsia="한컴바탕" w:hAnsi="한컴바탕" w:cs="한컴바탕" w:hint="eastAsia"/>
                <w:szCs w:val="21"/>
                <w:lang w:eastAsia="ko-KR"/>
              </w:rPr>
              <w:t>,</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국가세무총국의 </w:t>
            </w:r>
            <w:proofErr w:type="spellStart"/>
            <w:r w:rsidRPr="006448B0">
              <w:rPr>
                <w:rFonts w:ascii="한컴바탕" w:eastAsia="한컴바탕" w:hAnsi="한컴바탕" w:cs="한컴바탕" w:hint="eastAsia"/>
                <w:szCs w:val="21"/>
                <w:lang w:eastAsia="ko-KR"/>
              </w:rPr>
              <w:t>개체공상호</w:t>
            </w:r>
            <w:proofErr w:type="spellEnd"/>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업주, 개인 독자기업과 합명기업 자연인 투자자 개인소득세 비용 공제 기준 조정에 관한 통지</w:t>
            </w:r>
            <w:r w:rsidRPr="006448B0">
              <w:rPr>
                <w:rFonts w:ascii="한컴바탕" w:eastAsia="한컴바탕" w:hAnsi="한컴바탕" w:cs="한컴바탕"/>
                <w:szCs w:val="21"/>
                <w:lang w:eastAsia="ko-KR"/>
              </w:rPr>
              <w:t>&gt;(</w:t>
            </w:r>
            <w:r w:rsidRPr="006448B0">
              <w:rPr>
                <w:rFonts w:ascii="한컴바탕" w:eastAsia="한컴바탕" w:hAnsi="한컴바탕" w:cs="한컴바탕" w:hint="eastAsia"/>
                <w:szCs w:val="21"/>
                <w:lang w:eastAsia="ko-KR"/>
              </w:rPr>
              <w:t>재세[</w:t>
            </w:r>
            <w:r w:rsidRPr="006448B0">
              <w:rPr>
                <w:rFonts w:ascii="한컴바탕" w:eastAsia="한컴바탕" w:hAnsi="한컴바탕" w:cs="한컴바탕"/>
                <w:szCs w:val="21"/>
                <w:lang w:eastAsia="ko-KR"/>
              </w:rPr>
              <w:t>2011]62</w:t>
            </w:r>
            <w:r w:rsidRPr="006448B0">
              <w:rPr>
                <w:rFonts w:ascii="한컴바탕" w:eastAsia="한컴바탕" w:hAnsi="한컴바탕" w:cs="한컴바탕" w:hint="eastAsia"/>
                <w:szCs w:val="21"/>
                <w:lang w:eastAsia="ko-KR"/>
              </w:rPr>
              <w:t>호</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 xml:space="preserve">는 </w:t>
            </w:r>
            <w:r w:rsidRPr="006448B0">
              <w:rPr>
                <w:rFonts w:ascii="한컴바탕" w:eastAsia="한컴바탕" w:hAnsi="한컴바탕" w:cs="한컴바탕"/>
                <w:szCs w:val="21"/>
                <w:lang w:eastAsia="ko-KR"/>
              </w:rPr>
              <w:t>2018</w:t>
            </w:r>
            <w:r w:rsidRPr="006448B0">
              <w:rPr>
                <w:rFonts w:ascii="한컴바탕" w:eastAsia="한컴바탕" w:hAnsi="한컴바탕" w:cs="한컴바탕" w:hint="eastAsia"/>
                <w:szCs w:val="21"/>
                <w:lang w:eastAsia="ko-KR"/>
              </w:rPr>
              <w:t xml:space="preserve">년 </w:t>
            </w:r>
            <w:r w:rsidRPr="006448B0">
              <w:rPr>
                <w:rFonts w:ascii="한컴바탕" w:eastAsia="한컴바탕" w:hAnsi="한컴바탕" w:cs="한컴바탕"/>
                <w:szCs w:val="21"/>
                <w:lang w:eastAsia="ko-KR"/>
              </w:rPr>
              <w:t>10</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1</w:t>
            </w:r>
            <w:r w:rsidRPr="006448B0">
              <w:rPr>
                <w:rFonts w:ascii="한컴바탕" w:eastAsia="한컴바탕" w:hAnsi="한컴바탕" w:cs="한컴바탕" w:hint="eastAsia"/>
                <w:szCs w:val="21"/>
                <w:lang w:eastAsia="ko-KR"/>
              </w:rPr>
              <w:t>일부터 폐지한다.</w:t>
            </w:r>
            <w:r w:rsidRPr="006448B0">
              <w:rPr>
                <w:rFonts w:ascii="한컴바탕" w:eastAsia="한컴바탕" w:hAnsi="한컴바탕" w:cs="한컴바탕"/>
                <w:szCs w:val="21"/>
                <w:lang w:eastAsia="ko-KR"/>
              </w:rPr>
              <w:t xml:space="preserve"> </w:t>
            </w:r>
          </w:p>
          <w:p w:rsidR="006448B0" w:rsidRPr="006448B0" w:rsidRDefault="006448B0" w:rsidP="006448B0">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첨부:</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1</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szCs w:val="21"/>
                <w:lang w:eastAsia="ko-KR"/>
              </w:rPr>
              <w:t xml:space="preserve"> 1. - (</w:t>
            </w:r>
            <w:r w:rsidRPr="006448B0">
              <w:rPr>
                <w:rFonts w:ascii="한컴바탕" w:eastAsia="한컴바탕" w:hAnsi="한컴바탕" w:cs="한컴바탕" w:hint="eastAsia"/>
                <w:szCs w:val="21"/>
                <w:lang w:eastAsia="ko-KR"/>
              </w:rPr>
              <w:t>임금·급여 소득 적용</w:t>
            </w:r>
            <w:r w:rsidRPr="006448B0">
              <w:rPr>
                <w:rFonts w:ascii="한컴바탕" w:eastAsia="한컴바탕" w:hAnsi="한컴바탕" w:cs="한컴바탕"/>
                <w:szCs w:val="21"/>
                <w:lang w:eastAsia="ko-KR"/>
              </w:rPr>
              <w:t>)</w:t>
            </w:r>
          </w:p>
          <w:p w:rsidR="006448B0" w:rsidRPr="006448B0" w:rsidRDefault="006448B0" w:rsidP="006448B0">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szCs w:val="21"/>
                <w:lang w:eastAsia="ko-KR"/>
              </w:rPr>
              <w:t xml:space="preserve"> 2. - (</w:t>
            </w:r>
            <w:r w:rsidRPr="006448B0">
              <w:rPr>
                <w:rFonts w:ascii="한컴바탕" w:eastAsia="한컴바탕" w:hAnsi="한컴바탕" w:cs="한컴바탕" w:hint="eastAsia"/>
                <w:szCs w:val="21"/>
                <w:lang w:eastAsia="ko-KR"/>
              </w:rPr>
              <w:t>개체공상호의 생산 및 경영 소득과 기업·사업단위에 대한 도급·임차 경영 소득 적용</w:t>
            </w:r>
            <w:r w:rsidRPr="006448B0">
              <w:rPr>
                <w:rFonts w:ascii="한컴바탕" w:eastAsia="한컴바탕" w:hAnsi="한컴바탕" w:cs="한컴바탕"/>
                <w:szCs w:val="21"/>
                <w:lang w:eastAsia="ko-KR"/>
              </w:rPr>
              <w:t>)</w:t>
            </w:r>
          </w:p>
          <w:p w:rsidR="006448B0" w:rsidRPr="006448B0" w:rsidRDefault="006448B0" w:rsidP="006448B0">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roofErr w:type="spellStart"/>
            <w:r w:rsidRPr="006448B0">
              <w:rPr>
                <w:rFonts w:ascii="한컴바탕" w:eastAsia="한컴바탕" w:hAnsi="한컴바탕" w:cs="한컴바탕" w:hint="eastAsia"/>
                <w:szCs w:val="21"/>
                <w:lang w:eastAsia="ko-KR"/>
              </w:rPr>
              <w:t>재정부</w:t>
            </w:r>
            <w:proofErr w:type="spellEnd"/>
          </w:p>
          <w:p w:rsidR="006448B0" w:rsidRPr="006448B0" w:rsidRDefault="006448B0" w:rsidP="006448B0">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세무총국</w:t>
            </w:r>
          </w:p>
          <w:p w:rsidR="006448B0" w:rsidRPr="006448B0" w:rsidRDefault="006448B0" w:rsidP="006448B0">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018</w:t>
            </w:r>
            <w:r w:rsidRPr="006448B0">
              <w:rPr>
                <w:rFonts w:ascii="한컴바탕" w:eastAsia="한컴바탕" w:hAnsi="한컴바탕" w:cs="한컴바탕" w:hint="eastAsia"/>
                <w:szCs w:val="21"/>
                <w:lang w:eastAsia="ko-KR"/>
              </w:rPr>
              <w:t xml:space="preserve">년 </w:t>
            </w:r>
            <w:r w:rsidRPr="006448B0">
              <w:rPr>
                <w:rFonts w:ascii="한컴바탕" w:eastAsia="한컴바탕" w:hAnsi="한컴바탕" w:cs="한컴바탕"/>
                <w:szCs w:val="21"/>
                <w:lang w:eastAsia="ko-KR"/>
              </w:rPr>
              <w:t>9</w:t>
            </w:r>
            <w:r w:rsidRPr="006448B0">
              <w:rPr>
                <w:rFonts w:ascii="한컴바탕" w:eastAsia="한컴바탕" w:hAnsi="한컴바탕" w:cs="한컴바탕" w:hint="eastAsia"/>
                <w:szCs w:val="21"/>
                <w:lang w:eastAsia="ko-KR"/>
              </w:rPr>
              <w:t xml:space="preserve">월 </w:t>
            </w:r>
            <w:r w:rsidRPr="006448B0">
              <w:rPr>
                <w:rFonts w:ascii="한컴바탕" w:eastAsia="한컴바탕" w:hAnsi="한컴바탕" w:cs="한컴바탕"/>
                <w:szCs w:val="21"/>
                <w:lang w:eastAsia="ko-KR"/>
              </w:rPr>
              <w:t>7</w:t>
            </w:r>
            <w:r w:rsidRPr="006448B0">
              <w:rPr>
                <w:rFonts w:ascii="한컴바탕" w:eastAsia="한컴바탕" w:hAnsi="한컴바탕" w:cs="한컴바탕" w:hint="eastAsia"/>
                <w:szCs w:val="21"/>
                <w:lang w:eastAsia="ko-KR"/>
              </w:rPr>
              <w:t>일</w:t>
            </w:r>
          </w:p>
          <w:p w:rsid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hint="eastAsia"/>
                <w:szCs w:val="21"/>
              </w:rPr>
            </w:pP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hint="eastAsia"/>
                <w:szCs w:val="21"/>
              </w:rPr>
            </w:pP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첨부:</w:t>
            </w:r>
            <w:r w:rsidRPr="006448B0">
              <w:rPr>
                <w:rFonts w:ascii="한컴바탕" w:eastAsia="한컴바탕" w:hAnsi="한컴바탕" w:cs="한컴바탕"/>
                <w:szCs w:val="21"/>
                <w:lang w:eastAsia="ko-KR"/>
              </w:rPr>
              <w:t xml:space="preserve"> </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jc w:val="lef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szCs w:val="21"/>
                <w:lang w:eastAsia="ko-KR"/>
              </w:rPr>
              <w:t xml:space="preserve"> 1. - (</w:t>
            </w:r>
            <w:r w:rsidRPr="006448B0">
              <w:rPr>
                <w:rFonts w:ascii="한컴바탕" w:eastAsia="한컴바탕" w:hAnsi="한컴바탕" w:cs="한컴바탕" w:hint="eastAsia"/>
                <w:szCs w:val="21"/>
                <w:lang w:eastAsia="ko-KR"/>
              </w:rPr>
              <w:t>임금·급여 소득 적용</w:t>
            </w:r>
            <w:r w:rsidRPr="006448B0">
              <w:rPr>
                <w:rFonts w:ascii="한컴바탕" w:eastAsia="한컴바탕" w:hAnsi="한컴바탕" w:cs="한컴바탕"/>
                <w:szCs w:val="21"/>
                <w:lang w:eastAsia="ko-KR"/>
              </w:rPr>
              <w:t>)</w:t>
            </w:r>
          </w:p>
          <w:p w:rsidR="006448B0" w:rsidRPr="006448B0" w:rsidRDefault="006448B0" w:rsidP="006448B0">
            <w:pPr>
              <w:wordWrap w:val="0"/>
              <w:overflowPunct w:val="0"/>
              <w:topLinePunct/>
              <w:autoSpaceDN w:val="0"/>
              <w:adjustRightInd w:val="0"/>
              <w:snapToGrid w:val="0"/>
              <w:spacing w:line="340" w:lineRule="exact"/>
              <w:ind w:firstLine="420"/>
              <w:jc w:val="lef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 xml:space="preserve">. </w:t>
            </w:r>
            <w:r w:rsidRPr="006448B0">
              <w:rPr>
                <w:rFonts w:ascii="한컴바탕" w:eastAsia="한컴바탕" w:hAnsi="한컴바탕" w:cs="한컴바탕" w:hint="eastAsia"/>
                <w:szCs w:val="21"/>
                <w:lang w:eastAsia="ko-KR"/>
              </w:rPr>
              <w:t xml:space="preserve">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szCs w:val="21"/>
                <w:lang w:eastAsia="ko-KR"/>
              </w:rPr>
              <w:t xml:space="preserve"> 2. - (</w:t>
            </w:r>
            <w:r w:rsidRPr="006448B0">
              <w:rPr>
                <w:rFonts w:ascii="한컴바탕" w:eastAsia="한컴바탕" w:hAnsi="한컴바탕" w:cs="한컴바탕" w:hint="eastAsia"/>
                <w:szCs w:val="21"/>
                <w:lang w:eastAsia="ko-KR"/>
              </w:rPr>
              <w:t>개체공상호의 생산 및 경영 소득과 기업·사업단위에 대한 도급·임차 경영 소득 적용</w:t>
            </w:r>
            <w:r w:rsidRPr="006448B0">
              <w:rPr>
                <w:rFonts w:ascii="한컴바탕" w:eastAsia="한컴바탕" w:hAnsi="한컴바탕" w:cs="한컴바탕"/>
                <w:szCs w:val="21"/>
                <w:lang w:eastAsia="ko-KR"/>
              </w:rPr>
              <w:t>)</w:t>
            </w:r>
          </w:p>
          <w:p w:rsidR="006448B0" w:rsidRPr="006448B0" w:rsidRDefault="006448B0" w:rsidP="006448B0">
            <w:pPr>
              <w:wordWrap w:val="0"/>
              <w:overflowPunct w:val="0"/>
              <w:topLinePunct/>
              <w:autoSpaceDN w:val="0"/>
              <w:adjustRightInd w:val="0"/>
              <w:snapToGrid w:val="0"/>
              <w:spacing w:line="340" w:lineRule="exact"/>
              <w:ind w:firstLine="224"/>
              <w:jc w:val="left"/>
              <w:rPr>
                <w:rFonts w:ascii="한컴바탕" w:eastAsia="한컴바탕" w:hAnsi="한컴바탕" w:cs="한컴바탕"/>
                <w:szCs w:val="21"/>
                <w:lang w:eastAsia="ko-KR"/>
              </w:rPr>
            </w:pPr>
          </w:p>
          <w:p w:rsidR="006448B0" w:rsidRPr="006448B0" w:rsidRDefault="006448B0" w:rsidP="006448B0">
            <w:pPr>
              <w:tabs>
                <w:tab w:val="left" w:pos="3060"/>
              </w:tabs>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첨부1</w:t>
            </w:r>
          </w:p>
          <w:p w:rsidR="006448B0" w:rsidRPr="006448B0" w:rsidRDefault="006448B0" w:rsidP="006448B0">
            <w:pPr>
              <w:tabs>
                <w:tab w:val="left" w:pos="3060"/>
              </w:tabs>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 xml:space="preserve">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szCs w:val="21"/>
                <w:lang w:eastAsia="ko-KR"/>
              </w:rPr>
              <w:t xml:space="preserve"> 1. (</w:t>
            </w:r>
            <w:r w:rsidRPr="006448B0">
              <w:rPr>
                <w:rFonts w:ascii="한컴바탕" w:eastAsia="한컴바탕" w:hAnsi="한컴바탕" w:cs="한컴바탕" w:hint="eastAsia"/>
                <w:szCs w:val="21"/>
                <w:lang w:eastAsia="ko-KR"/>
              </w:rPr>
              <w:t>임금·급여 소득 적용</w:t>
            </w:r>
            <w:r w:rsidRPr="006448B0">
              <w:rPr>
                <w:rFonts w:ascii="한컴바탕" w:eastAsia="한컴바탕" w:hAnsi="한컴바탕" w:cs="한컴바탕"/>
                <w:szCs w:val="21"/>
                <w:lang w:eastAsia="ko-KR"/>
              </w:rPr>
              <w:t>)</w:t>
            </w:r>
          </w:p>
          <w:p w:rsidR="006448B0" w:rsidRPr="006448B0" w:rsidRDefault="006448B0" w:rsidP="006448B0">
            <w:pPr>
              <w:tabs>
                <w:tab w:val="left" w:pos="3060"/>
              </w:tabs>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tbl>
            <w:tblPr>
              <w:tblW w:w="4673" w:type="dxa"/>
              <w:tblLook w:val="0000" w:firstRow="0" w:lastRow="0" w:firstColumn="0" w:lastColumn="0" w:noHBand="0" w:noVBand="0"/>
            </w:tblPr>
            <w:tblGrid>
              <w:gridCol w:w="562"/>
              <w:gridCol w:w="1985"/>
              <w:gridCol w:w="709"/>
              <w:gridCol w:w="1417"/>
            </w:tblGrid>
            <w:tr w:rsidR="006448B0" w:rsidRPr="006448B0" w:rsidTr="007C1EE1">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pacing w:val="-24"/>
                      <w:szCs w:val="21"/>
                      <w:lang w:eastAsia="ko-KR"/>
                    </w:rPr>
                  </w:pPr>
                  <w:r w:rsidRPr="006448B0">
                    <w:rPr>
                      <w:rFonts w:ascii="한컴바탕" w:eastAsia="한컴바탕" w:hAnsi="한컴바탕" w:cs="한컴바탕" w:hint="eastAsia"/>
                      <w:spacing w:val="-24"/>
                      <w:szCs w:val="21"/>
                      <w:lang w:eastAsia="ko-KR"/>
                    </w:rPr>
                    <w:t>등급</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월 과세 소득액</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세율</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속산공제액</w:t>
                  </w:r>
                </w:p>
              </w:tc>
            </w:tr>
            <w:tr w:rsidR="006448B0" w:rsidRPr="006448B0" w:rsidTr="007C1EE1">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w:t>
                  </w:r>
                </w:p>
              </w:tc>
              <w:tc>
                <w:tcPr>
                  <w:tcW w:w="1985"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w:t>
                  </w:r>
                  <w:r w:rsidRPr="006448B0">
                    <w:rPr>
                      <w:rFonts w:ascii="한컴바탕" w:eastAsia="한컴바탕" w:hAnsi="한컴바탕" w:cs="한컴바탕"/>
                      <w:szCs w:val="21"/>
                      <w:lang w:eastAsia="ko-KR"/>
                    </w:rPr>
                    <w:t>,000</w:t>
                  </w:r>
                  <w:r w:rsidRPr="006448B0">
                    <w:rPr>
                      <w:rFonts w:ascii="한컴바탕" w:eastAsia="한컴바탕" w:hAnsi="한컴바탕" w:cs="한컴바탕" w:hint="eastAsia"/>
                      <w:szCs w:val="21"/>
                      <w:lang w:eastAsia="ko-KR"/>
                    </w:rPr>
                    <w:t>위안 미만</w:t>
                  </w:r>
                </w:p>
              </w:tc>
              <w:tc>
                <w:tcPr>
                  <w:tcW w:w="709"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w:t>
                  </w:r>
                </w:p>
              </w:tc>
              <w:tc>
                <w:tcPr>
                  <w:tcW w:w="1417" w:type="dxa"/>
                  <w:tcBorders>
                    <w:top w:val="nil"/>
                    <w:left w:val="nil"/>
                    <w:bottom w:val="single" w:sz="4" w:space="0" w:color="auto"/>
                    <w:right w:val="single" w:sz="4" w:space="0" w:color="auto"/>
                  </w:tcBorders>
                  <w:shd w:val="clear" w:color="auto" w:fill="auto"/>
                  <w:vAlign w:val="center"/>
                </w:tcPr>
                <w:p w:rsidR="006448B0" w:rsidRPr="006448B0" w:rsidRDefault="006448B0" w:rsidP="006448B0">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0</w:t>
                  </w:r>
                </w:p>
              </w:tc>
            </w:tr>
            <w:tr w:rsidR="006448B0" w:rsidRPr="006448B0" w:rsidTr="007C1EE1">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p>
              </w:tc>
              <w:tc>
                <w:tcPr>
                  <w:tcW w:w="1985"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w:t>
                  </w:r>
                  <w:r w:rsidRPr="006448B0">
                    <w:rPr>
                      <w:rFonts w:ascii="한컴바탕" w:eastAsia="한컴바탕" w:hAnsi="한컴바탕" w:cs="한컴바탕"/>
                      <w:szCs w:val="21"/>
                      <w:lang w:eastAsia="ko-KR"/>
                    </w:rPr>
                    <w:t xml:space="preserve">,000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12,000</w:t>
                  </w:r>
                  <w:r w:rsidRPr="006448B0">
                    <w:rPr>
                      <w:rFonts w:ascii="한컴바탕" w:eastAsia="한컴바탕" w:hAnsi="한컴바탕" w:cs="한컴바탕" w:hint="eastAsia"/>
                      <w:szCs w:val="21"/>
                      <w:lang w:eastAsia="ko-KR"/>
                    </w:rPr>
                    <w:t>위안 미만</w:t>
                  </w:r>
                </w:p>
              </w:tc>
              <w:tc>
                <w:tcPr>
                  <w:tcW w:w="709"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10%</w:t>
                  </w:r>
                </w:p>
              </w:tc>
              <w:tc>
                <w:tcPr>
                  <w:tcW w:w="1417" w:type="dxa"/>
                  <w:tcBorders>
                    <w:top w:val="nil"/>
                    <w:left w:val="nil"/>
                    <w:bottom w:val="single" w:sz="4" w:space="0" w:color="auto"/>
                    <w:right w:val="single" w:sz="4" w:space="0" w:color="auto"/>
                  </w:tcBorders>
                  <w:shd w:val="clear" w:color="auto" w:fill="auto"/>
                  <w:vAlign w:val="center"/>
                </w:tcPr>
                <w:p w:rsidR="006448B0" w:rsidRPr="006448B0" w:rsidRDefault="006448B0" w:rsidP="006448B0">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210</w:t>
                  </w:r>
                </w:p>
              </w:tc>
            </w:tr>
            <w:tr w:rsidR="006448B0" w:rsidRPr="006448B0" w:rsidTr="007C1EE1">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w:t>
                  </w:r>
                </w:p>
              </w:tc>
              <w:tc>
                <w:tcPr>
                  <w:tcW w:w="1985"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12,000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25,000</w:t>
                  </w:r>
                  <w:r w:rsidRPr="006448B0">
                    <w:rPr>
                      <w:rFonts w:ascii="한컴바탕" w:eastAsia="한컴바탕" w:hAnsi="한컴바탕" w:cs="한컴바탕" w:hint="eastAsia"/>
                      <w:szCs w:val="21"/>
                      <w:lang w:eastAsia="ko-KR"/>
                    </w:rPr>
                    <w:t>위안 미만</w:t>
                  </w:r>
                </w:p>
              </w:tc>
              <w:tc>
                <w:tcPr>
                  <w:tcW w:w="709"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20%</w:t>
                  </w:r>
                </w:p>
              </w:tc>
              <w:tc>
                <w:tcPr>
                  <w:tcW w:w="1417" w:type="dxa"/>
                  <w:tcBorders>
                    <w:top w:val="nil"/>
                    <w:left w:val="nil"/>
                    <w:bottom w:val="single" w:sz="4" w:space="0" w:color="auto"/>
                    <w:right w:val="single" w:sz="4" w:space="0" w:color="auto"/>
                  </w:tcBorders>
                  <w:shd w:val="clear" w:color="auto" w:fill="auto"/>
                  <w:vAlign w:val="center"/>
                </w:tcPr>
                <w:p w:rsidR="006448B0" w:rsidRPr="006448B0" w:rsidRDefault="006448B0" w:rsidP="006448B0">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410</w:t>
                  </w:r>
                </w:p>
              </w:tc>
            </w:tr>
            <w:tr w:rsidR="006448B0" w:rsidRPr="006448B0" w:rsidTr="007C1EE1">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4</w:t>
                  </w:r>
                </w:p>
              </w:tc>
              <w:tc>
                <w:tcPr>
                  <w:tcW w:w="1985"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 xml:space="preserve">5,000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35,000</w:t>
                  </w:r>
                  <w:r w:rsidRPr="006448B0">
                    <w:rPr>
                      <w:rFonts w:ascii="한컴바탕" w:eastAsia="한컴바탕" w:hAnsi="한컴바탕" w:cs="한컴바탕" w:hint="eastAsia"/>
                      <w:szCs w:val="21"/>
                      <w:lang w:eastAsia="ko-KR"/>
                    </w:rPr>
                    <w:t>위안 미만</w:t>
                  </w:r>
                </w:p>
              </w:tc>
              <w:tc>
                <w:tcPr>
                  <w:tcW w:w="709"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25%</w:t>
                  </w:r>
                </w:p>
              </w:tc>
              <w:tc>
                <w:tcPr>
                  <w:tcW w:w="1417" w:type="dxa"/>
                  <w:tcBorders>
                    <w:top w:val="nil"/>
                    <w:left w:val="nil"/>
                    <w:bottom w:val="single" w:sz="4" w:space="0" w:color="auto"/>
                    <w:right w:val="single" w:sz="4" w:space="0" w:color="auto"/>
                  </w:tcBorders>
                  <w:shd w:val="clear" w:color="auto" w:fill="auto"/>
                  <w:vAlign w:val="center"/>
                </w:tcPr>
                <w:p w:rsidR="006448B0" w:rsidRPr="006448B0" w:rsidRDefault="006448B0" w:rsidP="006448B0">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660</w:t>
                  </w:r>
                </w:p>
              </w:tc>
            </w:tr>
            <w:tr w:rsidR="006448B0" w:rsidRPr="006448B0" w:rsidTr="007C1EE1">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5</w:t>
                  </w:r>
                </w:p>
              </w:tc>
              <w:tc>
                <w:tcPr>
                  <w:tcW w:w="1985"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35,000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55,000</w:t>
                  </w:r>
                  <w:r w:rsidRPr="006448B0">
                    <w:rPr>
                      <w:rFonts w:ascii="한컴바탕" w:eastAsia="한컴바탕" w:hAnsi="한컴바탕" w:cs="한컴바탕" w:hint="eastAsia"/>
                      <w:szCs w:val="21"/>
                      <w:lang w:eastAsia="ko-KR"/>
                    </w:rPr>
                    <w:t>위안 미만</w:t>
                  </w:r>
                </w:p>
              </w:tc>
              <w:tc>
                <w:tcPr>
                  <w:tcW w:w="709"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30%</w:t>
                  </w:r>
                </w:p>
              </w:tc>
              <w:tc>
                <w:tcPr>
                  <w:tcW w:w="1417" w:type="dxa"/>
                  <w:tcBorders>
                    <w:top w:val="nil"/>
                    <w:left w:val="nil"/>
                    <w:bottom w:val="single" w:sz="4" w:space="0" w:color="auto"/>
                    <w:right w:val="single" w:sz="4" w:space="0" w:color="auto"/>
                  </w:tcBorders>
                  <w:shd w:val="clear" w:color="auto" w:fill="auto"/>
                  <w:vAlign w:val="center"/>
                </w:tcPr>
                <w:p w:rsidR="006448B0" w:rsidRPr="006448B0" w:rsidRDefault="006448B0" w:rsidP="006448B0">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4</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410</w:t>
                  </w:r>
                </w:p>
              </w:tc>
            </w:tr>
            <w:tr w:rsidR="006448B0" w:rsidRPr="006448B0" w:rsidTr="007C1EE1">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6</w:t>
                  </w:r>
                </w:p>
              </w:tc>
              <w:tc>
                <w:tcPr>
                  <w:tcW w:w="1985"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55,000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80,000</w:t>
                  </w:r>
                  <w:r w:rsidRPr="006448B0">
                    <w:rPr>
                      <w:rFonts w:ascii="한컴바탕" w:eastAsia="한컴바탕" w:hAnsi="한컴바탕" w:cs="한컴바탕" w:hint="eastAsia"/>
                      <w:szCs w:val="21"/>
                      <w:lang w:eastAsia="ko-KR"/>
                    </w:rPr>
                    <w:t>위안 미만</w:t>
                  </w:r>
                </w:p>
              </w:tc>
              <w:tc>
                <w:tcPr>
                  <w:tcW w:w="709"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35%</w:t>
                  </w:r>
                </w:p>
              </w:tc>
              <w:tc>
                <w:tcPr>
                  <w:tcW w:w="1417" w:type="dxa"/>
                  <w:tcBorders>
                    <w:top w:val="nil"/>
                    <w:left w:val="nil"/>
                    <w:bottom w:val="single" w:sz="4" w:space="0" w:color="auto"/>
                    <w:right w:val="single" w:sz="4" w:space="0" w:color="auto"/>
                  </w:tcBorders>
                  <w:shd w:val="clear" w:color="auto" w:fill="auto"/>
                  <w:vAlign w:val="center"/>
                </w:tcPr>
                <w:p w:rsidR="006448B0" w:rsidRPr="006448B0" w:rsidRDefault="006448B0" w:rsidP="006448B0">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7</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160</w:t>
                  </w:r>
                </w:p>
              </w:tc>
            </w:tr>
            <w:tr w:rsidR="006448B0" w:rsidRPr="006448B0" w:rsidTr="007C1EE1">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7</w:t>
                  </w:r>
                </w:p>
              </w:tc>
              <w:tc>
                <w:tcPr>
                  <w:tcW w:w="1985"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80,000 </w:t>
                  </w:r>
                  <w:r w:rsidRPr="006448B0">
                    <w:rPr>
                      <w:rFonts w:ascii="한컴바탕" w:eastAsia="한컴바탕" w:hAnsi="한컴바탕" w:cs="한컴바탕" w:hint="eastAsia"/>
                      <w:szCs w:val="21"/>
                      <w:lang w:eastAsia="ko-KR"/>
                    </w:rPr>
                    <w:t>위안 초과</w:t>
                  </w:r>
                </w:p>
              </w:tc>
              <w:tc>
                <w:tcPr>
                  <w:tcW w:w="709"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45%</w:t>
                  </w:r>
                </w:p>
              </w:tc>
              <w:tc>
                <w:tcPr>
                  <w:tcW w:w="1417" w:type="dxa"/>
                  <w:tcBorders>
                    <w:top w:val="nil"/>
                    <w:left w:val="nil"/>
                    <w:bottom w:val="single" w:sz="4" w:space="0" w:color="auto"/>
                    <w:right w:val="single" w:sz="4" w:space="0" w:color="auto"/>
                  </w:tcBorders>
                  <w:shd w:val="clear" w:color="auto" w:fill="auto"/>
                  <w:vAlign w:val="center"/>
                </w:tcPr>
                <w:p w:rsidR="006448B0" w:rsidRPr="006448B0" w:rsidRDefault="006448B0" w:rsidP="006448B0">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15</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160</w:t>
                  </w:r>
                </w:p>
              </w:tc>
            </w:tr>
          </w:tbl>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첨부2</w:t>
            </w:r>
          </w:p>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448B0" w:rsidRPr="006448B0" w:rsidRDefault="006448B0" w:rsidP="006448B0">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 xml:space="preserve">개인소득세 </w:t>
            </w:r>
            <w:proofErr w:type="spellStart"/>
            <w:r w:rsidRPr="006448B0">
              <w:rPr>
                <w:rFonts w:ascii="한컴바탕" w:eastAsia="한컴바탕" w:hAnsi="한컴바탕" w:cs="한컴바탕" w:hint="eastAsia"/>
                <w:szCs w:val="21"/>
                <w:lang w:eastAsia="ko-KR"/>
              </w:rPr>
              <w:t>세율표</w:t>
            </w:r>
            <w:proofErr w:type="spellEnd"/>
            <w:r w:rsidRPr="006448B0">
              <w:rPr>
                <w:rFonts w:ascii="한컴바탕" w:eastAsia="한컴바탕" w:hAnsi="한컴바탕" w:cs="한컴바탕"/>
                <w:szCs w:val="21"/>
                <w:lang w:eastAsia="ko-KR"/>
              </w:rPr>
              <w:t xml:space="preserve"> 2. (</w:t>
            </w:r>
            <w:r w:rsidRPr="006448B0">
              <w:rPr>
                <w:rFonts w:ascii="한컴바탕" w:eastAsia="한컴바탕" w:hAnsi="한컴바탕" w:cs="한컴바탕" w:hint="eastAsia"/>
                <w:szCs w:val="21"/>
                <w:lang w:eastAsia="ko-KR"/>
              </w:rPr>
              <w:t>개체공상호의 생산 및 경영 소득과 기업·사업단위에 대한 도급·임차 경영 소득 적용</w:t>
            </w:r>
            <w:r w:rsidRPr="006448B0">
              <w:rPr>
                <w:rFonts w:ascii="한컴바탕" w:eastAsia="한컴바탕" w:hAnsi="한컴바탕" w:cs="한컴바탕"/>
                <w:szCs w:val="21"/>
                <w:lang w:eastAsia="ko-KR"/>
              </w:rPr>
              <w:t>)</w:t>
            </w:r>
          </w:p>
          <w:p w:rsidR="006448B0" w:rsidRPr="006448B0" w:rsidRDefault="006448B0" w:rsidP="006448B0">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
          <w:tbl>
            <w:tblPr>
              <w:tblW w:w="4673" w:type="dxa"/>
              <w:tblLook w:val="0000" w:firstRow="0" w:lastRow="0" w:firstColumn="0" w:lastColumn="0" w:noHBand="0" w:noVBand="0"/>
            </w:tblPr>
            <w:tblGrid>
              <w:gridCol w:w="562"/>
              <w:gridCol w:w="2127"/>
              <w:gridCol w:w="708"/>
              <w:gridCol w:w="1276"/>
            </w:tblGrid>
            <w:tr w:rsidR="007C1EE1" w:rsidRPr="006448B0" w:rsidTr="007C1EE1">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pacing w:val="-24"/>
                      <w:szCs w:val="21"/>
                      <w:lang w:eastAsia="ko-KR"/>
                    </w:rPr>
                  </w:pPr>
                  <w:r w:rsidRPr="006448B0">
                    <w:rPr>
                      <w:rFonts w:ascii="한컴바탕" w:eastAsia="한컴바탕" w:hAnsi="한컴바탕" w:cs="한컴바탕" w:hint="eastAsia"/>
                      <w:spacing w:val="-24"/>
                      <w:szCs w:val="21"/>
                      <w:lang w:eastAsia="ko-KR"/>
                    </w:rPr>
                    <w:t>등급</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월 과세 소득액</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세율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속산공제액</w:t>
                  </w:r>
                </w:p>
              </w:tc>
            </w:tr>
            <w:tr w:rsidR="007C1EE1" w:rsidRPr="006448B0" w:rsidTr="007C1EE1">
              <w:trPr>
                <w:trHeight w:val="48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w:t>
                  </w:r>
                </w:p>
              </w:tc>
              <w:tc>
                <w:tcPr>
                  <w:tcW w:w="212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w:t>
                  </w:r>
                  <w:r w:rsidRPr="006448B0">
                    <w:rPr>
                      <w:rFonts w:ascii="한컴바탕" w:eastAsia="한컴바탕" w:hAnsi="한컴바탕" w:cs="한컴바탕"/>
                      <w:szCs w:val="21"/>
                      <w:lang w:eastAsia="ko-KR"/>
                    </w:rPr>
                    <w:t>0,000</w:t>
                  </w:r>
                  <w:r w:rsidRPr="006448B0">
                    <w:rPr>
                      <w:rFonts w:ascii="한컴바탕" w:eastAsia="한컴바탕" w:hAnsi="한컴바탕" w:cs="한컴바탕" w:hint="eastAsia"/>
                      <w:szCs w:val="21"/>
                      <w:lang w:eastAsia="ko-KR"/>
                    </w:rPr>
                    <w:t>위안 미만</w:t>
                  </w:r>
                </w:p>
              </w:tc>
              <w:tc>
                <w:tcPr>
                  <w:tcW w:w="708"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5%</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0</w:t>
                  </w:r>
                </w:p>
              </w:tc>
            </w:tr>
            <w:tr w:rsidR="007C1EE1" w:rsidRPr="006448B0" w:rsidTr="007C1EE1">
              <w:trPr>
                <w:trHeight w:val="48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w:t>
                  </w:r>
                </w:p>
              </w:tc>
              <w:tc>
                <w:tcPr>
                  <w:tcW w:w="212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30,000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90,000</w:t>
                  </w:r>
                  <w:r w:rsidRPr="006448B0">
                    <w:rPr>
                      <w:rFonts w:ascii="한컴바탕" w:eastAsia="한컴바탕" w:hAnsi="한컴바탕" w:cs="한컴바탕" w:hint="eastAsia"/>
                      <w:szCs w:val="21"/>
                      <w:lang w:eastAsia="ko-KR"/>
                    </w:rPr>
                    <w:t>위안 미만</w:t>
                  </w:r>
                </w:p>
              </w:tc>
              <w:tc>
                <w:tcPr>
                  <w:tcW w:w="708"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10%</w:t>
                  </w:r>
                </w:p>
              </w:tc>
              <w:tc>
                <w:tcPr>
                  <w:tcW w:w="1276" w:type="dxa"/>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500</w:t>
                  </w:r>
                </w:p>
              </w:tc>
            </w:tr>
            <w:tr w:rsidR="007C1EE1" w:rsidRPr="006448B0" w:rsidTr="007C1EE1">
              <w:trPr>
                <w:trHeight w:val="48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w:t>
                  </w:r>
                </w:p>
              </w:tc>
              <w:tc>
                <w:tcPr>
                  <w:tcW w:w="212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90,000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300,000</w:t>
                  </w:r>
                  <w:r w:rsidRPr="006448B0">
                    <w:rPr>
                      <w:rFonts w:ascii="한컴바탕" w:eastAsia="한컴바탕" w:hAnsi="한컴바탕" w:cs="한컴바탕" w:hint="eastAsia"/>
                      <w:szCs w:val="21"/>
                      <w:lang w:eastAsia="ko-KR"/>
                    </w:rPr>
                    <w:t>위안 미만</w:t>
                  </w:r>
                </w:p>
              </w:tc>
              <w:tc>
                <w:tcPr>
                  <w:tcW w:w="708"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20%</w:t>
                  </w:r>
                </w:p>
              </w:tc>
              <w:tc>
                <w:tcPr>
                  <w:tcW w:w="1276" w:type="dxa"/>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10</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500</w:t>
                  </w:r>
                </w:p>
              </w:tc>
            </w:tr>
            <w:tr w:rsidR="007C1EE1" w:rsidRPr="006448B0" w:rsidTr="007C1EE1">
              <w:trPr>
                <w:trHeight w:val="48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4</w:t>
                  </w:r>
                </w:p>
              </w:tc>
              <w:tc>
                <w:tcPr>
                  <w:tcW w:w="212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300,000 </w:t>
                  </w:r>
                  <w:r w:rsidRPr="006448B0">
                    <w:rPr>
                      <w:rFonts w:ascii="한컴바탕" w:eastAsia="한컴바탕" w:hAnsi="한컴바탕" w:cs="한컴바탕" w:hint="eastAsia"/>
                      <w:szCs w:val="21"/>
                      <w:lang w:eastAsia="ko-KR"/>
                    </w:rPr>
                    <w:t xml:space="preserve">위안 초과 </w:t>
                  </w:r>
                  <w:r w:rsidRPr="006448B0">
                    <w:rPr>
                      <w:rFonts w:ascii="한컴바탕" w:eastAsia="한컴바탕" w:hAnsi="한컴바탕" w:cs="한컴바탕"/>
                      <w:szCs w:val="21"/>
                      <w:lang w:eastAsia="ko-KR"/>
                    </w:rPr>
                    <w:t>500,000</w:t>
                  </w:r>
                  <w:r w:rsidRPr="006448B0">
                    <w:rPr>
                      <w:rFonts w:ascii="한컴바탕" w:eastAsia="한컴바탕" w:hAnsi="한컴바탕" w:cs="한컴바탕" w:hint="eastAsia"/>
                      <w:szCs w:val="21"/>
                      <w:lang w:eastAsia="ko-KR"/>
                    </w:rPr>
                    <w:t>위안 미만</w:t>
                  </w:r>
                </w:p>
              </w:tc>
              <w:tc>
                <w:tcPr>
                  <w:tcW w:w="708"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30%</w:t>
                  </w:r>
                </w:p>
              </w:tc>
              <w:tc>
                <w:tcPr>
                  <w:tcW w:w="1276" w:type="dxa"/>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40</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500</w:t>
                  </w:r>
                </w:p>
              </w:tc>
            </w:tr>
            <w:tr w:rsidR="007C1EE1" w:rsidRPr="006448B0" w:rsidTr="007C1EE1">
              <w:trPr>
                <w:trHeight w:val="480"/>
              </w:trPr>
              <w:tc>
                <w:tcPr>
                  <w:tcW w:w="562"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5</w:t>
                  </w:r>
                </w:p>
              </w:tc>
              <w:tc>
                <w:tcPr>
                  <w:tcW w:w="212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448B0">
                    <w:rPr>
                      <w:rFonts w:ascii="한컴바탕" w:eastAsia="한컴바탕" w:hAnsi="한컴바탕" w:cs="한컴바탕"/>
                      <w:szCs w:val="21"/>
                      <w:lang w:eastAsia="ko-KR"/>
                    </w:rPr>
                    <w:t xml:space="preserve">500,000 </w:t>
                  </w:r>
                  <w:r w:rsidRPr="006448B0">
                    <w:rPr>
                      <w:rFonts w:ascii="한컴바탕" w:eastAsia="한컴바탕" w:hAnsi="한컴바탕" w:cs="한컴바탕" w:hint="eastAsia"/>
                      <w:szCs w:val="21"/>
                      <w:lang w:eastAsia="ko-KR"/>
                    </w:rPr>
                    <w:t>위안 초과</w:t>
                  </w:r>
                </w:p>
              </w:tc>
              <w:tc>
                <w:tcPr>
                  <w:tcW w:w="708"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35%</w:t>
                  </w:r>
                </w:p>
              </w:tc>
              <w:tc>
                <w:tcPr>
                  <w:tcW w:w="1276" w:type="dxa"/>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448B0">
                    <w:rPr>
                      <w:rFonts w:ascii="한컴바탕" w:eastAsia="한컴바탕" w:hAnsi="한컴바탕" w:cs="한컴바탕" w:hint="eastAsia"/>
                      <w:szCs w:val="21"/>
                      <w:lang w:eastAsia="ko-KR"/>
                    </w:rPr>
                    <w:t>65</w:t>
                  </w:r>
                  <w:r w:rsidRPr="006448B0">
                    <w:rPr>
                      <w:rFonts w:ascii="한컴바탕" w:eastAsia="한컴바탕" w:hAnsi="한컴바탕" w:cs="한컴바탕"/>
                      <w:szCs w:val="21"/>
                      <w:lang w:eastAsia="ko-KR"/>
                    </w:rPr>
                    <w:t>,</w:t>
                  </w:r>
                  <w:r w:rsidRPr="006448B0">
                    <w:rPr>
                      <w:rFonts w:ascii="한컴바탕" w:eastAsia="한컴바탕" w:hAnsi="한컴바탕" w:cs="한컴바탕" w:hint="eastAsia"/>
                      <w:szCs w:val="21"/>
                      <w:lang w:eastAsia="ko-KR"/>
                    </w:rPr>
                    <w:t>500</w:t>
                  </w:r>
                </w:p>
              </w:tc>
            </w:tr>
          </w:tbl>
          <w:p w:rsidR="006448B0" w:rsidRPr="006448B0" w:rsidRDefault="006448B0" w:rsidP="006448B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193007" w:rsidRPr="006448B0" w:rsidRDefault="00193007" w:rsidP="00193007">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DB5008" w:rsidRPr="00193007"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BF730B" w:rsidRDefault="00DB5008" w:rsidP="00DB5008">
            <w:pPr>
              <w:wordWrap w:val="0"/>
              <w:spacing w:line="290" w:lineRule="atLeast"/>
              <w:rPr>
                <w:rFonts w:ascii="한컴바탕" w:eastAsia="한컴바탕" w:hAnsi="한컴바탕" w:cs="한컴바탕"/>
                <w:spacing w:val="-14"/>
                <w:szCs w:val="21"/>
                <w:lang w:eastAsia="ko-KR"/>
              </w:rPr>
            </w:pPr>
          </w:p>
        </w:tc>
        <w:tc>
          <w:tcPr>
            <w:tcW w:w="3958" w:type="dxa"/>
          </w:tcPr>
          <w:p w:rsidR="006448B0" w:rsidRPr="006448B0" w:rsidRDefault="006448B0" w:rsidP="006448B0">
            <w:pPr>
              <w:spacing w:line="360" w:lineRule="auto"/>
              <w:jc w:val="center"/>
              <w:rPr>
                <w:rFonts w:ascii="SimSun" w:eastAsia="SimSun" w:hAnsi="SimSun"/>
                <w:b/>
                <w:spacing w:val="-8"/>
                <w:sz w:val="26"/>
                <w:szCs w:val="26"/>
              </w:rPr>
            </w:pPr>
            <w:r w:rsidRPr="006448B0">
              <w:rPr>
                <w:rFonts w:ascii="SimSun" w:eastAsia="SimSun" w:hAnsi="SimSun" w:hint="eastAsia"/>
                <w:b/>
                <w:spacing w:val="-8"/>
                <w:sz w:val="26"/>
                <w:szCs w:val="26"/>
              </w:rPr>
              <w:t>关于2018年第四季度个人所得税减除费用和税率适用问题的通知</w:t>
            </w:r>
          </w:p>
          <w:p w:rsidR="006448B0" w:rsidRPr="006448B0" w:rsidRDefault="006448B0" w:rsidP="006448B0">
            <w:pPr>
              <w:spacing w:line="360" w:lineRule="auto"/>
              <w:jc w:val="center"/>
              <w:rPr>
                <w:rFonts w:ascii="SimSun" w:eastAsia="SimSun" w:hAnsi="SimSun"/>
                <w:szCs w:val="21"/>
              </w:rPr>
            </w:pPr>
            <w:r w:rsidRPr="006448B0">
              <w:rPr>
                <w:rFonts w:ascii="SimSun" w:eastAsia="SimSun" w:hAnsi="SimSun" w:hint="eastAsia"/>
                <w:szCs w:val="21"/>
              </w:rPr>
              <w:t>财税〔2018〕98号</w:t>
            </w:r>
          </w:p>
          <w:p w:rsidR="006448B0" w:rsidRPr="006448B0" w:rsidRDefault="006448B0" w:rsidP="006448B0">
            <w:pPr>
              <w:spacing w:line="360" w:lineRule="auto"/>
              <w:rPr>
                <w:rFonts w:ascii="SimSun" w:eastAsia="SimSun" w:hAnsi="SimSun"/>
                <w:szCs w:val="21"/>
              </w:rPr>
            </w:pPr>
          </w:p>
          <w:p w:rsidR="006448B0" w:rsidRPr="006448B0" w:rsidRDefault="006448B0" w:rsidP="006448B0">
            <w:pPr>
              <w:spacing w:line="360" w:lineRule="auto"/>
              <w:rPr>
                <w:rFonts w:ascii="SimSun" w:eastAsia="SimSun" w:hAnsi="SimSun"/>
                <w:szCs w:val="21"/>
              </w:rPr>
            </w:pP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各省、自治区、直辖市、计划单列市财政厅（局），国家税务总局各省、自治区、直辖市、计划单列市税务局，新疆生产建设兵团财政局：</w:t>
            </w:r>
          </w:p>
          <w:p w:rsidR="006448B0" w:rsidRPr="006448B0" w:rsidRDefault="006448B0" w:rsidP="006448B0">
            <w:pPr>
              <w:spacing w:line="360" w:lineRule="auto"/>
              <w:ind w:firstLine="420"/>
              <w:rPr>
                <w:rFonts w:ascii="SimSun" w:eastAsia="SimSun" w:hAnsi="SimSun"/>
                <w:szCs w:val="21"/>
              </w:rPr>
            </w:pPr>
            <w:r w:rsidRPr="006448B0">
              <w:rPr>
                <w:rFonts w:ascii="SimSun" w:eastAsia="SimSun" w:hAnsi="SimSun" w:hint="eastAsia"/>
                <w:szCs w:val="21"/>
              </w:rPr>
              <w:t>根据第十三届全国人大常委会第五次会议审议通过的《全国人民代表大会常务委员会关于修改&lt;中华人民共和国个人所得税法&gt;的决定》，现就2018年第四季度纳税人适用个人所得税减除费用和税率有关问题通知如下：</w:t>
            </w:r>
          </w:p>
          <w:p w:rsidR="006448B0" w:rsidRPr="006448B0" w:rsidRDefault="006448B0" w:rsidP="006448B0">
            <w:pPr>
              <w:spacing w:line="360" w:lineRule="auto"/>
              <w:ind w:firstLine="420"/>
              <w:rPr>
                <w:rFonts w:ascii="SimSun" w:eastAsia="SimSun" w:hAnsi="SimSun"/>
                <w:szCs w:val="21"/>
              </w:rPr>
            </w:pP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一、关于工资、薪金所得适用减除费用和税率问题</w:t>
            </w:r>
          </w:p>
          <w:p w:rsidR="006448B0" w:rsidRPr="006448B0" w:rsidRDefault="006448B0" w:rsidP="006448B0">
            <w:pPr>
              <w:spacing w:line="360" w:lineRule="auto"/>
              <w:ind w:firstLine="420"/>
              <w:rPr>
                <w:rFonts w:ascii="SimSun" w:eastAsia="SimSun" w:hAnsi="SimSun"/>
                <w:szCs w:val="21"/>
              </w:rPr>
            </w:pPr>
            <w:r w:rsidRPr="006448B0">
              <w:rPr>
                <w:rFonts w:ascii="SimSun" w:eastAsia="SimSun" w:hAnsi="SimSun" w:hint="eastAsia"/>
                <w:szCs w:val="21"/>
              </w:rPr>
              <w:t>对纳税人在2018年10月1日（含）后实际取得的工资、薪金所得，减除费用统一按照5000元/月执行, 并按照本通知所附个人所得税税率表一计算应纳税额。对纳税人在2018年9月30日（含）前实际取得的工资、薪金所得，减除费用按照税法修改前规定执行。</w:t>
            </w:r>
          </w:p>
          <w:p w:rsidR="006448B0" w:rsidRPr="006448B0" w:rsidRDefault="006448B0" w:rsidP="006448B0">
            <w:pPr>
              <w:spacing w:line="360" w:lineRule="auto"/>
              <w:ind w:firstLine="420"/>
              <w:rPr>
                <w:rFonts w:ascii="SimSun" w:eastAsia="SimSun" w:hAnsi="SimSun"/>
                <w:szCs w:val="21"/>
              </w:rPr>
            </w:pP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二、关于个体工商户业主、个人独资企业和合伙企业自然人投资者、企事业单位承包承租经营者的生产经营所得计税方法问题</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（一）对个体工商户业主、个人独资企业和合伙企业自然人投资者、企事业单</w:t>
            </w:r>
            <w:r w:rsidRPr="006448B0">
              <w:rPr>
                <w:rFonts w:ascii="SimSun" w:eastAsia="SimSun" w:hAnsi="SimSun" w:hint="eastAsia"/>
                <w:szCs w:val="21"/>
              </w:rPr>
              <w:lastRenderedPageBreak/>
              <w:t>位承包承租经营者2018年第四季度取得的生产经营所得，减除费用按照5000元/月执行，前三季度减除费用按照3500元/月执行。</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二）对个体工商户业主、个人独资企业和合伙企业自然人投资者、企事业单位承包承租经营者2018年取得的生产经营所得，用全年应纳税所得额分别计算应纳前三季度税额和应纳第四季度税额，其中应纳前三季度税额按照税法修改前规定的税率和前三季度实际经营月份的权重计算，应纳第四季度税额按照本通知所附个人所得税税率表二（以下称税法修改后规定的税率）和第四季度实际经营月份的权重计算。具体计算方法：</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1.月（季）度预缴税款的计算。</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本期应缴税额=累计应纳税额-累计已缴税额</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累计应纳税额=应纳10月1日以前税额+应纳10月1日以后税额</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应纳10月1日以前税额=（累计应纳税所得额×税法修改前规定的税率-税法修改前规定的速算扣除数）×10月1日以前实际经营月份数÷累计实际经营月份数</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应纳10月1日以后税额=（累计应纳税所得额×税法修改后规定的税率-税法修改后规定的速算扣除数）×10月1日以后实际经营月份数÷累计实际经营月份数</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2.年度汇算清缴税款的计算。</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汇缴应补退税额=全年应纳税额-累计已缴税额</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全年应纳税额=应纳前三季度税额+应纳第四季度税额</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lastRenderedPageBreak/>
              <w:t xml:space="preserve">　　应纳前三季度税额=（全年应纳税所得额×税法修改前规定的税率-税法修改前规定的速算扣除数）×前三季度实际经营月份数÷全年实际经营月份数</w:t>
            </w:r>
          </w:p>
          <w:p w:rsidR="006448B0" w:rsidRPr="006448B0" w:rsidRDefault="006448B0" w:rsidP="006448B0">
            <w:pPr>
              <w:spacing w:line="360" w:lineRule="auto"/>
              <w:ind w:firstLine="420"/>
              <w:rPr>
                <w:rFonts w:ascii="SimSun" w:eastAsia="SimSun" w:hAnsi="SimSun"/>
                <w:szCs w:val="21"/>
              </w:rPr>
            </w:pPr>
            <w:r w:rsidRPr="006448B0">
              <w:rPr>
                <w:rFonts w:ascii="SimSun" w:eastAsia="SimSun" w:hAnsi="SimSun" w:hint="eastAsia"/>
                <w:szCs w:val="21"/>
              </w:rPr>
              <w:t>应纳第四季度税额=（全年应纳税所得额×税法修改后规定的税率-税法修改后规定的速算扣除数）×第四季度实际经营月份数÷全年实际经营月份数</w:t>
            </w:r>
          </w:p>
          <w:p w:rsidR="006448B0" w:rsidRPr="006448B0" w:rsidRDefault="006448B0" w:rsidP="006448B0">
            <w:pPr>
              <w:spacing w:line="360" w:lineRule="auto"/>
              <w:ind w:firstLine="420"/>
              <w:rPr>
                <w:rFonts w:ascii="SimSun" w:eastAsia="SimSun" w:hAnsi="SimSun"/>
                <w:szCs w:val="21"/>
              </w:rPr>
            </w:pP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三、《财政部国家税务总局关于调整个体工商户业主 个人独资企业和合伙企业自然人投资者个人所得税费用扣除标准的通知》（财税〔2011〕62号）自2018年10月1日起废止。</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附件：1. 个人所得税税率表一（工资薪金所得适用）</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　　2. 个人所得税税率表二（个体工商户的生产、经营所得和对企事业单位的承包经营、承租经营所得适用）</w:t>
            </w:r>
          </w:p>
          <w:p w:rsidR="006448B0" w:rsidRPr="006448B0" w:rsidRDefault="006448B0" w:rsidP="006448B0">
            <w:pPr>
              <w:spacing w:line="360" w:lineRule="auto"/>
              <w:ind w:firstLine="420"/>
              <w:jc w:val="right"/>
              <w:rPr>
                <w:rFonts w:ascii="SimSun" w:eastAsia="SimSun" w:hAnsi="SimSun"/>
                <w:szCs w:val="21"/>
              </w:rPr>
            </w:pPr>
            <w:r w:rsidRPr="006448B0">
              <w:rPr>
                <w:rFonts w:ascii="SimSun" w:eastAsia="SimSun" w:hAnsi="SimSun" w:hint="eastAsia"/>
                <w:szCs w:val="21"/>
              </w:rPr>
              <w:t xml:space="preserve">财政部     </w:t>
            </w:r>
          </w:p>
          <w:p w:rsidR="006448B0" w:rsidRPr="006448B0" w:rsidRDefault="006448B0" w:rsidP="006448B0">
            <w:pPr>
              <w:spacing w:line="360" w:lineRule="auto"/>
              <w:ind w:firstLine="420"/>
              <w:jc w:val="right"/>
              <w:rPr>
                <w:rFonts w:ascii="SimSun" w:eastAsia="SimSun" w:hAnsi="SimSun"/>
                <w:szCs w:val="21"/>
              </w:rPr>
            </w:pPr>
            <w:r w:rsidRPr="006448B0">
              <w:rPr>
                <w:rFonts w:ascii="SimSun" w:eastAsia="SimSun" w:hAnsi="SimSun" w:hint="eastAsia"/>
                <w:szCs w:val="21"/>
              </w:rPr>
              <w:t>税务总局</w:t>
            </w:r>
          </w:p>
          <w:p w:rsidR="006448B0" w:rsidRPr="006448B0" w:rsidRDefault="006448B0" w:rsidP="006448B0">
            <w:pPr>
              <w:spacing w:line="360" w:lineRule="auto"/>
              <w:jc w:val="right"/>
              <w:rPr>
                <w:rFonts w:ascii="SimSun" w:eastAsia="SimSun" w:hAnsi="SimSun"/>
                <w:szCs w:val="21"/>
              </w:rPr>
            </w:pPr>
            <w:r w:rsidRPr="006448B0">
              <w:rPr>
                <w:rFonts w:ascii="SimSun" w:eastAsia="SimSun" w:hAnsi="SimSun" w:hint="eastAsia"/>
                <w:szCs w:val="21"/>
              </w:rPr>
              <w:t xml:space="preserve">　　2018年9月7日</w:t>
            </w:r>
          </w:p>
          <w:p w:rsidR="006448B0" w:rsidRPr="006448B0" w:rsidRDefault="006448B0" w:rsidP="006448B0">
            <w:pPr>
              <w:spacing w:line="360" w:lineRule="auto"/>
              <w:rPr>
                <w:rFonts w:ascii="SimSun" w:eastAsia="SimSun" w:hAnsi="SimSun"/>
                <w:szCs w:val="21"/>
              </w:rPr>
            </w:pPr>
            <w:r w:rsidRPr="006448B0">
              <w:rPr>
                <w:rFonts w:ascii="SimSun" w:eastAsia="SimSun" w:hAnsi="SimSun"/>
                <w:szCs w:val="21"/>
              </w:rPr>
              <w:t xml:space="preserve"> </w:t>
            </w:r>
          </w:p>
          <w:p w:rsidR="006448B0" w:rsidRPr="006448B0" w:rsidRDefault="006448B0" w:rsidP="006448B0">
            <w:pPr>
              <w:spacing w:line="360" w:lineRule="auto"/>
              <w:rPr>
                <w:rFonts w:ascii="SimSun" w:eastAsia="SimSun" w:hAnsi="SimSun"/>
                <w:szCs w:val="21"/>
              </w:rPr>
            </w:pPr>
            <w:r w:rsidRPr="006448B0">
              <w:rPr>
                <w:rFonts w:ascii="SimSun" w:eastAsia="SimSun" w:hAnsi="SimSun"/>
                <w:szCs w:val="21"/>
              </w:rPr>
              <w:t xml:space="preserve">  </w:t>
            </w: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附件:</w:t>
            </w:r>
          </w:p>
          <w:p w:rsidR="006448B0" w:rsidRPr="006448B0" w:rsidRDefault="006448B0" w:rsidP="006448B0">
            <w:pPr>
              <w:spacing w:line="360" w:lineRule="auto"/>
              <w:ind w:firstLineChars="100" w:firstLine="210"/>
              <w:rPr>
                <w:rFonts w:ascii="SimSun" w:eastAsia="SimSun" w:hAnsi="SimSun"/>
                <w:szCs w:val="21"/>
              </w:rPr>
            </w:pPr>
            <w:r w:rsidRPr="006448B0">
              <w:rPr>
                <w:rFonts w:ascii="SimSun" w:eastAsia="SimSun" w:hAnsi="SimSun" w:hint="eastAsia"/>
                <w:szCs w:val="21"/>
              </w:rPr>
              <w:t>1.个人所得税税率表一（工资薪金所得适用）</w:t>
            </w:r>
          </w:p>
          <w:p w:rsidR="006448B0" w:rsidRPr="006448B0" w:rsidRDefault="006448B0" w:rsidP="006448B0">
            <w:pPr>
              <w:spacing w:line="360" w:lineRule="auto"/>
              <w:ind w:firstLineChars="100" w:firstLine="210"/>
              <w:rPr>
                <w:rFonts w:ascii="SimSun" w:eastAsia="SimSun" w:hAnsi="SimSun"/>
                <w:szCs w:val="21"/>
              </w:rPr>
            </w:pPr>
            <w:r w:rsidRPr="006448B0">
              <w:rPr>
                <w:rFonts w:ascii="SimSun" w:eastAsia="SimSun" w:hAnsi="SimSun" w:hint="eastAsia"/>
                <w:szCs w:val="21"/>
              </w:rPr>
              <w:t>2.个人所得税税率表二（个体工商户的生产、经营所得和对企事业单位的承包经营、承租经营所得适用）</w:t>
            </w:r>
          </w:p>
          <w:p w:rsidR="006448B0" w:rsidRPr="006448B0" w:rsidRDefault="006448B0" w:rsidP="006448B0">
            <w:pPr>
              <w:spacing w:line="360" w:lineRule="auto"/>
              <w:ind w:firstLineChars="100" w:firstLine="210"/>
              <w:rPr>
                <w:rFonts w:ascii="SimSun" w:eastAsia="SimSun" w:hAnsi="SimSun"/>
                <w:szCs w:val="21"/>
              </w:rPr>
            </w:pPr>
          </w:p>
          <w:p w:rsidR="006448B0" w:rsidRPr="006448B0" w:rsidRDefault="006448B0" w:rsidP="006448B0">
            <w:pPr>
              <w:tabs>
                <w:tab w:val="left" w:pos="3060"/>
              </w:tabs>
              <w:spacing w:line="360" w:lineRule="auto"/>
              <w:rPr>
                <w:rFonts w:ascii="SimSun" w:eastAsia="SimSun" w:hAnsi="SimSun"/>
                <w:szCs w:val="21"/>
              </w:rPr>
            </w:pPr>
            <w:r w:rsidRPr="006448B0">
              <w:rPr>
                <w:rFonts w:ascii="SimSun" w:eastAsia="SimSun" w:hAnsi="SimSun" w:hint="eastAsia"/>
                <w:szCs w:val="21"/>
              </w:rPr>
              <w:t xml:space="preserve">附件1       </w:t>
            </w:r>
          </w:p>
          <w:p w:rsidR="006448B0" w:rsidRPr="006448B0" w:rsidRDefault="006448B0" w:rsidP="006448B0">
            <w:pPr>
              <w:tabs>
                <w:tab w:val="left" w:pos="3060"/>
              </w:tabs>
              <w:spacing w:line="360" w:lineRule="auto"/>
              <w:rPr>
                <w:rFonts w:ascii="SimSun" w:eastAsia="SimSun" w:hAnsi="SimSun"/>
                <w:szCs w:val="21"/>
              </w:rPr>
            </w:pPr>
          </w:p>
          <w:p w:rsidR="006448B0" w:rsidRPr="006448B0" w:rsidRDefault="006448B0" w:rsidP="006448B0">
            <w:pPr>
              <w:tabs>
                <w:tab w:val="left" w:pos="3060"/>
              </w:tabs>
              <w:spacing w:line="360" w:lineRule="auto"/>
              <w:jc w:val="center"/>
              <w:rPr>
                <w:rFonts w:ascii="SimSun" w:eastAsia="SimSun" w:hAnsi="SimSun"/>
                <w:szCs w:val="21"/>
              </w:rPr>
            </w:pPr>
            <w:r w:rsidRPr="006448B0">
              <w:rPr>
                <w:rFonts w:ascii="SimSun" w:eastAsia="SimSun" w:hAnsi="SimSun" w:hint="eastAsia"/>
                <w:szCs w:val="21"/>
              </w:rPr>
              <w:lastRenderedPageBreak/>
              <w:t>个人所得税税率表一（工资薪金所得适用）</w:t>
            </w:r>
          </w:p>
          <w:p w:rsidR="006448B0" w:rsidRPr="006448B0" w:rsidRDefault="006448B0" w:rsidP="006448B0">
            <w:pPr>
              <w:tabs>
                <w:tab w:val="left" w:pos="3060"/>
              </w:tabs>
              <w:spacing w:line="360" w:lineRule="auto"/>
              <w:rPr>
                <w:rFonts w:ascii="SimSun" w:eastAsia="SimSun" w:hAnsi="SimSun"/>
                <w:szCs w:val="21"/>
              </w:rPr>
            </w:pPr>
          </w:p>
          <w:tbl>
            <w:tblPr>
              <w:tblW w:w="3907" w:type="dxa"/>
              <w:jc w:val="center"/>
              <w:tblLook w:val="0000" w:firstRow="0" w:lastRow="0" w:firstColumn="0" w:lastColumn="0" w:noHBand="0" w:noVBand="0"/>
            </w:tblPr>
            <w:tblGrid>
              <w:gridCol w:w="505"/>
              <w:gridCol w:w="1559"/>
              <w:gridCol w:w="567"/>
              <w:gridCol w:w="1276"/>
            </w:tblGrid>
            <w:tr w:rsidR="007C1EE1" w:rsidRPr="006448B0" w:rsidTr="007C1EE1">
              <w:trPr>
                <w:trHeight w:val="510"/>
                <w:jc w:val="center"/>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8B0" w:rsidRPr="006448B0" w:rsidRDefault="006448B0" w:rsidP="008C1EBF">
                  <w:pPr>
                    <w:widowControl/>
                    <w:spacing w:line="360" w:lineRule="auto"/>
                    <w:jc w:val="center"/>
                    <w:rPr>
                      <w:rFonts w:ascii="SimSun" w:eastAsia="SimSun" w:hAnsi="SimSun"/>
                      <w:spacing w:val="-36"/>
                      <w:szCs w:val="21"/>
                    </w:rPr>
                  </w:pPr>
                  <w:r w:rsidRPr="006448B0">
                    <w:rPr>
                      <w:rFonts w:ascii="SimSun" w:eastAsia="SimSun" w:hAnsi="SimSun" w:hint="eastAsia"/>
                      <w:spacing w:val="-36"/>
                      <w:szCs w:val="21"/>
                    </w:rPr>
                    <w:t>级数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448B0" w:rsidRPr="007C1EE1" w:rsidRDefault="006448B0" w:rsidP="008C1EBF">
                  <w:pPr>
                    <w:widowControl/>
                    <w:spacing w:line="360" w:lineRule="auto"/>
                    <w:jc w:val="center"/>
                    <w:rPr>
                      <w:rFonts w:ascii="SimSun" w:eastAsia="SimSun" w:hAnsi="SimSun"/>
                      <w:spacing w:val="-26"/>
                      <w:szCs w:val="21"/>
                    </w:rPr>
                  </w:pPr>
                  <w:r w:rsidRPr="007C1EE1">
                    <w:rPr>
                      <w:rFonts w:ascii="SimSun" w:eastAsia="SimSun" w:hAnsi="SimSun" w:hint="eastAsia"/>
                      <w:spacing w:val="-26"/>
                      <w:szCs w:val="21"/>
                    </w:rPr>
                    <w:t>全月应纳税所得额</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448B0" w:rsidRPr="007C1EE1" w:rsidRDefault="006448B0" w:rsidP="008C1EBF">
                  <w:pPr>
                    <w:widowControl/>
                    <w:spacing w:line="360" w:lineRule="auto"/>
                    <w:jc w:val="center"/>
                    <w:rPr>
                      <w:rFonts w:ascii="SimSun" w:eastAsia="SimSun" w:hAnsi="SimSun"/>
                      <w:spacing w:val="-20"/>
                      <w:szCs w:val="21"/>
                    </w:rPr>
                  </w:pPr>
                  <w:r w:rsidRPr="007C1EE1">
                    <w:rPr>
                      <w:rFonts w:ascii="SimSun" w:eastAsia="SimSun" w:hAnsi="SimSun" w:hint="eastAsia"/>
                      <w:spacing w:val="-20"/>
                      <w:szCs w:val="21"/>
                    </w:rPr>
                    <w:t>税率</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448B0" w:rsidRPr="007C1EE1" w:rsidRDefault="006448B0" w:rsidP="008C1EBF">
                  <w:pPr>
                    <w:widowControl/>
                    <w:spacing w:line="360" w:lineRule="auto"/>
                    <w:jc w:val="center"/>
                    <w:rPr>
                      <w:rFonts w:ascii="SimSun" w:eastAsia="SimSun" w:hAnsi="SimSun"/>
                      <w:spacing w:val="-20"/>
                      <w:szCs w:val="21"/>
                    </w:rPr>
                  </w:pPr>
                  <w:r w:rsidRPr="007C1EE1">
                    <w:rPr>
                      <w:rFonts w:ascii="SimSun" w:eastAsia="SimSun" w:hAnsi="SimSun" w:hint="eastAsia"/>
                      <w:spacing w:val="-20"/>
                      <w:szCs w:val="21"/>
                    </w:rPr>
                    <w:t>速算扣除数</w:t>
                  </w:r>
                </w:p>
              </w:tc>
            </w:tr>
            <w:tr w:rsidR="007C1EE1" w:rsidRPr="006448B0" w:rsidTr="007C1EE1">
              <w:trPr>
                <w:trHeight w:val="510"/>
                <w:jc w:val="center"/>
              </w:trPr>
              <w:tc>
                <w:tcPr>
                  <w:tcW w:w="505"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1</w:t>
                  </w:r>
                </w:p>
              </w:tc>
              <w:tc>
                <w:tcPr>
                  <w:tcW w:w="1559" w:type="dxa"/>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不超过3000元的</w:t>
                  </w:r>
                </w:p>
              </w:tc>
              <w:tc>
                <w:tcPr>
                  <w:tcW w:w="56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3%</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ind w:firstLineChars="200" w:firstLine="420"/>
                    <w:jc w:val="right"/>
                    <w:rPr>
                      <w:rFonts w:ascii="SimSun" w:eastAsia="SimSun" w:hAnsi="SimSun"/>
                      <w:szCs w:val="21"/>
                    </w:rPr>
                  </w:pPr>
                  <w:r w:rsidRPr="006448B0">
                    <w:rPr>
                      <w:rFonts w:ascii="SimSun" w:eastAsia="SimSun" w:hAnsi="SimSun" w:hint="eastAsia"/>
                      <w:szCs w:val="21"/>
                    </w:rPr>
                    <w:t>0</w:t>
                  </w:r>
                </w:p>
              </w:tc>
            </w:tr>
            <w:tr w:rsidR="007C1EE1" w:rsidRPr="006448B0" w:rsidTr="007C1EE1">
              <w:trPr>
                <w:trHeight w:val="510"/>
                <w:jc w:val="center"/>
              </w:trPr>
              <w:tc>
                <w:tcPr>
                  <w:tcW w:w="505"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2</w:t>
                  </w:r>
                </w:p>
              </w:tc>
              <w:tc>
                <w:tcPr>
                  <w:tcW w:w="1559" w:type="dxa"/>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超过3000元至12000元的部分</w:t>
                  </w:r>
                </w:p>
              </w:tc>
              <w:tc>
                <w:tcPr>
                  <w:tcW w:w="56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10%</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ind w:firstLineChars="200" w:firstLine="420"/>
                    <w:jc w:val="right"/>
                    <w:rPr>
                      <w:rFonts w:ascii="SimSun" w:eastAsia="SimSun" w:hAnsi="SimSun"/>
                      <w:szCs w:val="21"/>
                    </w:rPr>
                  </w:pPr>
                  <w:r w:rsidRPr="006448B0">
                    <w:rPr>
                      <w:rFonts w:ascii="SimSun" w:eastAsia="SimSun" w:hAnsi="SimSun" w:hint="eastAsia"/>
                      <w:szCs w:val="21"/>
                    </w:rPr>
                    <w:t>210</w:t>
                  </w:r>
                </w:p>
              </w:tc>
            </w:tr>
            <w:tr w:rsidR="007C1EE1" w:rsidRPr="006448B0" w:rsidTr="007C1EE1">
              <w:trPr>
                <w:trHeight w:val="510"/>
                <w:jc w:val="center"/>
              </w:trPr>
              <w:tc>
                <w:tcPr>
                  <w:tcW w:w="505"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3</w:t>
                  </w:r>
                </w:p>
              </w:tc>
              <w:tc>
                <w:tcPr>
                  <w:tcW w:w="1559" w:type="dxa"/>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超过12000元至25000元的部分</w:t>
                  </w:r>
                </w:p>
              </w:tc>
              <w:tc>
                <w:tcPr>
                  <w:tcW w:w="56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20%</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ind w:firstLineChars="200" w:firstLine="420"/>
                    <w:jc w:val="right"/>
                    <w:rPr>
                      <w:rFonts w:ascii="SimSun" w:eastAsia="SimSun" w:hAnsi="SimSun"/>
                      <w:szCs w:val="21"/>
                    </w:rPr>
                  </w:pPr>
                  <w:r w:rsidRPr="006448B0">
                    <w:rPr>
                      <w:rFonts w:ascii="SimSun" w:eastAsia="SimSun" w:hAnsi="SimSun" w:hint="eastAsia"/>
                      <w:szCs w:val="21"/>
                    </w:rPr>
                    <w:t>1410</w:t>
                  </w:r>
                </w:p>
              </w:tc>
            </w:tr>
            <w:tr w:rsidR="007C1EE1" w:rsidRPr="006448B0" w:rsidTr="007C1EE1">
              <w:trPr>
                <w:trHeight w:val="510"/>
                <w:jc w:val="center"/>
              </w:trPr>
              <w:tc>
                <w:tcPr>
                  <w:tcW w:w="505"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4</w:t>
                  </w:r>
                </w:p>
              </w:tc>
              <w:tc>
                <w:tcPr>
                  <w:tcW w:w="1559" w:type="dxa"/>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超过25000元至35000元的部分</w:t>
                  </w:r>
                </w:p>
              </w:tc>
              <w:tc>
                <w:tcPr>
                  <w:tcW w:w="56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25%</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ind w:firstLineChars="200" w:firstLine="420"/>
                    <w:jc w:val="right"/>
                    <w:rPr>
                      <w:rFonts w:ascii="SimSun" w:eastAsia="SimSun" w:hAnsi="SimSun"/>
                      <w:szCs w:val="21"/>
                    </w:rPr>
                  </w:pPr>
                  <w:r w:rsidRPr="006448B0">
                    <w:rPr>
                      <w:rFonts w:ascii="SimSun" w:eastAsia="SimSun" w:hAnsi="SimSun" w:hint="eastAsia"/>
                      <w:szCs w:val="21"/>
                    </w:rPr>
                    <w:t>2660</w:t>
                  </w:r>
                </w:p>
              </w:tc>
            </w:tr>
            <w:tr w:rsidR="007C1EE1" w:rsidRPr="006448B0" w:rsidTr="007C1EE1">
              <w:trPr>
                <w:trHeight w:val="510"/>
                <w:jc w:val="center"/>
              </w:trPr>
              <w:tc>
                <w:tcPr>
                  <w:tcW w:w="505"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5</w:t>
                  </w:r>
                </w:p>
              </w:tc>
              <w:tc>
                <w:tcPr>
                  <w:tcW w:w="1559" w:type="dxa"/>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超过35000元至55000元的部分</w:t>
                  </w:r>
                </w:p>
              </w:tc>
              <w:tc>
                <w:tcPr>
                  <w:tcW w:w="56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30%</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ind w:firstLineChars="200" w:firstLine="420"/>
                    <w:jc w:val="right"/>
                    <w:rPr>
                      <w:rFonts w:ascii="SimSun" w:eastAsia="SimSun" w:hAnsi="SimSun"/>
                      <w:szCs w:val="21"/>
                    </w:rPr>
                  </w:pPr>
                  <w:r w:rsidRPr="006448B0">
                    <w:rPr>
                      <w:rFonts w:ascii="SimSun" w:eastAsia="SimSun" w:hAnsi="SimSun" w:hint="eastAsia"/>
                      <w:szCs w:val="21"/>
                    </w:rPr>
                    <w:t>4410</w:t>
                  </w:r>
                </w:p>
              </w:tc>
            </w:tr>
            <w:tr w:rsidR="007C1EE1" w:rsidRPr="006448B0" w:rsidTr="007C1EE1">
              <w:trPr>
                <w:trHeight w:val="510"/>
                <w:jc w:val="center"/>
              </w:trPr>
              <w:tc>
                <w:tcPr>
                  <w:tcW w:w="505"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6</w:t>
                  </w:r>
                </w:p>
              </w:tc>
              <w:tc>
                <w:tcPr>
                  <w:tcW w:w="1559" w:type="dxa"/>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超过55000元至80000元的部分</w:t>
                  </w:r>
                </w:p>
              </w:tc>
              <w:tc>
                <w:tcPr>
                  <w:tcW w:w="56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35%</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ind w:firstLineChars="200" w:firstLine="420"/>
                    <w:jc w:val="right"/>
                    <w:rPr>
                      <w:rFonts w:ascii="SimSun" w:eastAsia="SimSun" w:hAnsi="SimSun"/>
                      <w:szCs w:val="21"/>
                    </w:rPr>
                  </w:pPr>
                  <w:r w:rsidRPr="006448B0">
                    <w:rPr>
                      <w:rFonts w:ascii="SimSun" w:eastAsia="SimSun" w:hAnsi="SimSun" w:hint="eastAsia"/>
                      <w:szCs w:val="21"/>
                    </w:rPr>
                    <w:t>7160</w:t>
                  </w:r>
                </w:p>
              </w:tc>
            </w:tr>
            <w:tr w:rsidR="007C1EE1" w:rsidRPr="006448B0" w:rsidTr="007C1EE1">
              <w:trPr>
                <w:trHeight w:val="510"/>
                <w:jc w:val="center"/>
              </w:trPr>
              <w:tc>
                <w:tcPr>
                  <w:tcW w:w="505" w:type="dxa"/>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7</w:t>
                  </w:r>
                </w:p>
              </w:tc>
              <w:tc>
                <w:tcPr>
                  <w:tcW w:w="1559" w:type="dxa"/>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超过80000元的部分</w:t>
                  </w:r>
                </w:p>
              </w:tc>
              <w:tc>
                <w:tcPr>
                  <w:tcW w:w="567"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45%</w:t>
                  </w:r>
                </w:p>
              </w:tc>
              <w:tc>
                <w:tcPr>
                  <w:tcW w:w="1276" w:type="dxa"/>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ind w:firstLineChars="200" w:firstLine="420"/>
                    <w:jc w:val="right"/>
                    <w:rPr>
                      <w:rFonts w:ascii="SimSun" w:eastAsia="SimSun" w:hAnsi="SimSun"/>
                      <w:szCs w:val="21"/>
                    </w:rPr>
                  </w:pPr>
                  <w:r w:rsidRPr="006448B0">
                    <w:rPr>
                      <w:rFonts w:ascii="SimSun" w:eastAsia="SimSun" w:hAnsi="SimSun" w:hint="eastAsia"/>
                      <w:szCs w:val="21"/>
                    </w:rPr>
                    <w:t>15160</w:t>
                  </w:r>
                </w:p>
              </w:tc>
            </w:tr>
          </w:tbl>
          <w:p w:rsidR="006448B0" w:rsidRPr="006448B0" w:rsidRDefault="006448B0" w:rsidP="006448B0">
            <w:pPr>
              <w:spacing w:line="360" w:lineRule="auto"/>
              <w:rPr>
                <w:rFonts w:ascii="SimSun" w:eastAsia="SimSun" w:hAnsi="SimSun"/>
                <w:szCs w:val="21"/>
              </w:rPr>
            </w:pPr>
          </w:p>
          <w:p w:rsidR="006448B0" w:rsidRPr="006448B0" w:rsidRDefault="006448B0" w:rsidP="006448B0">
            <w:pPr>
              <w:spacing w:line="360" w:lineRule="auto"/>
              <w:rPr>
                <w:rFonts w:ascii="SimSun" w:eastAsia="SimSun" w:hAnsi="SimSun"/>
                <w:szCs w:val="21"/>
              </w:rPr>
            </w:pPr>
            <w:r w:rsidRPr="006448B0">
              <w:rPr>
                <w:rFonts w:ascii="SimSun" w:eastAsia="SimSun" w:hAnsi="SimSun" w:hint="eastAsia"/>
                <w:szCs w:val="21"/>
              </w:rPr>
              <w:t xml:space="preserve">附件2    </w:t>
            </w:r>
          </w:p>
          <w:p w:rsidR="006448B0" w:rsidRPr="006448B0" w:rsidRDefault="006448B0" w:rsidP="006448B0">
            <w:pPr>
              <w:spacing w:line="360" w:lineRule="auto"/>
              <w:rPr>
                <w:rFonts w:ascii="SimSun" w:eastAsia="SimSun" w:hAnsi="SimSun"/>
                <w:szCs w:val="21"/>
              </w:rPr>
            </w:pPr>
          </w:p>
          <w:p w:rsidR="006448B0" w:rsidRPr="006448B0" w:rsidRDefault="006448B0" w:rsidP="006448B0">
            <w:pPr>
              <w:spacing w:line="360" w:lineRule="auto"/>
              <w:jc w:val="center"/>
              <w:rPr>
                <w:rFonts w:ascii="SimSun" w:eastAsia="SimSun" w:hAnsi="SimSun"/>
                <w:szCs w:val="21"/>
              </w:rPr>
            </w:pPr>
            <w:r w:rsidRPr="006448B0">
              <w:rPr>
                <w:rFonts w:ascii="SimSun" w:eastAsia="SimSun" w:hAnsi="SimSun" w:hint="eastAsia"/>
                <w:szCs w:val="21"/>
              </w:rPr>
              <w:t>个人所得税税率表二（个体工商户的生产、经营所得和对企事业单位的</w:t>
            </w:r>
          </w:p>
          <w:p w:rsidR="006448B0" w:rsidRPr="006448B0" w:rsidRDefault="006448B0" w:rsidP="006448B0">
            <w:pPr>
              <w:spacing w:line="360" w:lineRule="auto"/>
              <w:jc w:val="center"/>
              <w:rPr>
                <w:rFonts w:ascii="SimSun" w:eastAsia="SimSun" w:hAnsi="SimSun"/>
                <w:szCs w:val="21"/>
              </w:rPr>
            </w:pPr>
            <w:r w:rsidRPr="006448B0">
              <w:rPr>
                <w:rFonts w:ascii="SimSun" w:eastAsia="SimSun" w:hAnsi="SimSun" w:hint="eastAsia"/>
                <w:szCs w:val="21"/>
              </w:rPr>
              <w:t>承包经营、承租经营所得适用）</w:t>
            </w:r>
          </w:p>
          <w:p w:rsidR="006448B0" w:rsidRPr="006448B0" w:rsidRDefault="006448B0" w:rsidP="006448B0">
            <w:pPr>
              <w:spacing w:line="360" w:lineRule="auto"/>
              <w:rPr>
                <w:rFonts w:ascii="SimSun" w:eastAsia="SimSun" w:hAnsi="SimSun"/>
                <w:szCs w:val="21"/>
              </w:rPr>
            </w:pPr>
          </w:p>
          <w:tbl>
            <w:tblPr>
              <w:tblW w:w="5000" w:type="pct"/>
              <w:tblLook w:val="0000" w:firstRow="0" w:lastRow="0" w:firstColumn="0" w:lastColumn="0" w:noHBand="0" w:noVBand="0"/>
            </w:tblPr>
            <w:tblGrid>
              <w:gridCol w:w="544"/>
              <w:gridCol w:w="1599"/>
              <w:gridCol w:w="556"/>
              <w:gridCol w:w="1208"/>
            </w:tblGrid>
            <w:tr w:rsidR="007C1EE1" w:rsidRPr="006448B0" w:rsidTr="007C1EE1">
              <w:trPr>
                <w:trHeight w:val="480"/>
              </w:trPr>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1EE1" w:rsidRPr="006448B0" w:rsidRDefault="007C1EE1" w:rsidP="008C1EBF">
                  <w:pPr>
                    <w:widowControl/>
                    <w:spacing w:line="360" w:lineRule="auto"/>
                    <w:jc w:val="center"/>
                    <w:rPr>
                      <w:rFonts w:ascii="SimSun" w:eastAsia="SimSun" w:hAnsi="SimSun"/>
                      <w:spacing w:val="-36"/>
                      <w:szCs w:val="21"/>
                    </w:rPr>
                  </w:pPr>
                  <w:r w:rsidRPr="006448B0">
                    <w:rPr>
                      <w:rFonts w:ascii="SimSun" w:eastAsia="SimSun" w:hAnsi="SimSun" w:hint="eastAsia"/>
                      <w:spacing w:val="-36"/>
                      <w:szCs w:val="21"/>
                    </w:rPr>
                    <w:t>级数</w:t>
                  </w:r>
                </w:p>
              </w:tc>
              <w:tc>
                <w:tcPr>
                  <w:tcW w:w="2091" w:type="pct"/>
                  <w:tcBorders>
                    <w:top w:val="single" w:sz="4" w:space="0" w:color="auto"/>
                    <w:left w:val="nil"/>
                    <w:bottom w:val="single" w:sz="4" w:space="0" w:color="auto"/>
                    <w:right w:val="single" w:sz="4" w:space="0" w:color="auto"/>
                  </w:tcBorders>
                  <w:shd w:val="clear" w:color="auto" w:fill="auto"/>
                  <w:noWrap/>
                  <w:vAlign w:val="center"/>
                </w:tcPr>
                <w:p w:rsidR="007C1EE1" w:rsidRPr="007C1EE1" w:rsidRDefault="007C1EE1" w:rsidP="008C1EBF">
                  <w:pPr>
                    <w:widowControl/>
                    <w:spacing w:line="360" w:lineRule="auto"/>
                    <w:jc w:val="center"/>
                    <w:rPr>
                      <w:rFonts w:ascii="SimSun" w:eastAsia="SimSun" w:hAnsi="SimSun"/>
                      <w:spacing w:val="-26"/>
                      <w:szCs w:val="21"/>
                    </w:rPr>
                  </w:pPr>
                  <w:r w:rsidRPr="007C1EE1">
                    <w:rPr>
                      <w:rFonts w:ascii="SimSun" w:eastAsia="SimSun" w:hAnsi="SimSun" w:hint="eastAsia"/>
                      <w:spacing w:val="-26"/>
                      <w:szCs w:val="21"/>
                    </w:rPr>
                    <w:t>全月应纳税所得额</w:t>
                  </w:r>
                </w:p>
              </w:tc>
              <w:tc>
                <w:tcPr>
                  <w:tcW w:w="577" w:type="pct"/>
                  <w:tcBorders>
                    <w:top w:val="single" w:sz="4" w:space="0" w:color="auto"/>
                    <w:left w:val="nil"/>
                    <w:bottom w:val="single" w:sz="4" w:space="0" w:color="auto"/>
                    <w:right w:val="single" w:sz="4" w:space="0" w:color="auto"/>
                  </w:tcBorders>
                  <w:shd w:val="clear" w:color="auto" w:fill="auto"/>
                  <w:noWrap/>
                  <w:vAlign w:val="center"/>
                </w:tcPr>
                <w:p w:rsidR="007C1EE1" w:rsidRPr="007C1EE1" w:rsidRDefault="007C1EE1" w:rsidP="008C1EBF">
                  <w:pPr>
                    <w:widowControl/>
                    <w:spacing w:line="360" w:lineRule="auto"/>
                    <w:jc w:val="center"/>
                    <w:rPr>
                      <w:rFonts w:ascii="SimSun" w:eastAsia="SimSun" w:hAnsi="SimSun"/>
                      <w:spacing w:val="-20"/>
                      <w:szCs w:val="21"/>
                    </w:rPr>
                  </w:pPr>
                  <w:r w:rsidRPr="007C1EE1">
                    <w:rPr>
                      <w:rFonts w:ascii="SimSun" w:eastAsia="SimSun" w:hAnsi="SimSun" w:hint="eastAsia"/>
                      <w:spacing w:val="-20"/>
                      <w:szCs w:val="21"/>
                    </w:rPr>
                    <w:t>税率</w:t>
                  </w:r>
                </w:p>
              </w:tc>
              <w:tc>
                <w:tcPr>
                  <w:tcW w:w="1591" w:type="pct"/>
                  <w:tcBorders>
                    <w:top w:val="single" w:sz="4" w:space="0" w:color="auto"/>
                    <w:left w:val="nil"/>
                    <w:bottom w:val="single" w:sz="4" w:space="0" w:color="auto"/>
                    <w:right w:val="single" w:sz="4" w:space="0" w:color="auto"/>
                  </w:tcBorders>
                  <w:shd w:val="clear" w:color="auto" w:fill="auto"/>
                  <w:noWrap/>
                  <w:vAlign w:val="center"/>
                </w:tcPr>
                <w:p w:rsidR="007C1EE1" w:rsidRPr="007C1EE1" w:rsidRDefault="007C1EE1" w:rsidP="008C1EBF">
                  <w:pPr>
                    <w:widowControl/>
                    <w:spacing w:line="360" w:lineRule="auto"/>
                    <w:jc w:val="center"/>
                    <w:rPr>
                      <w:rFonts w:ascii="SimSun" w:eastAsia="SimSun" w:hAnsi="SimSun"/>
                      <w:spacing w:val="-20"/>
                      <w:szCs w:val="21"/>
                    </w:rPr>
                  </w:pPr>
                  <w:r w:rsidRPr="007C1EE1">
                    <w:rPr>
                      <w:rFonts w:ascii="SimSun" w:eastAsia="SimSun" w:hAnsi="SimSun" w:hint="eastAsia"/>
                      <w:spacing w:val="-20"/>
                      <w:szCs w:val="21"/>
                    </w:rPr>
                    <w:t>速算扣除数</w:t>
                  </w:r>
                </w:p>
              </w:tc>
            </w:tr>
            <w:tr w:rsidR="007C1EE1" w:rsidRPr="006448B0" w:rsidTr="007C1EE1">
              <w:trPr>
                <w:trHeight w:val="480"/>
              </w:trPr>
              <w:tc>
                <w:tcPr>
                  <w:tcW w:w="741" w:type="pct"/>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1</w:t>
                  </w:r>
                </w:p>
              </w:tc>
              <w:tc>
                <w:tcPr>
                  <w:tcW w:w="2091" w:type="pct"/>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不超过30000元的</w:t>
                  </w:r>
                </w:p>
              </w:tc>
              <w:tc>
                <w:tcPr>
                  <w:tcW w:w="577" w:type="pct"/>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5%</w:t>
                  </w:r>
                </w:p>
              </w:tc>
              <w:tc>
                <w:tcPr>
                  <w:tcW w:w="1591" w:type="pct"/>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0</w:t>
                  </w:r>
                </w:p>
              </w:tc>
            </w:tr>
            <w:tr w:rsidR="007C1EE1" w:rsidRPr="006448B0" w:rsidTr="007C1EE1">
              <w:trPr>
                <w:trHeight w:val="480"/>
              </w:trPr>
              <w:tc>
                <w:tcPr>
                  <w:tcW w:w="741" w:type="pct"/>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2</w:t>
                  </w:r>
                </w:p>
              </w:tc>
              <w:tc>
                <w:tcPr>
                  <w:tcW w:w="2091" w:type="pct"/>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超过30000元至90000元的部分</w:t>
                  </w:r>
                </w:p>
              </w:tc>
              <w:tc>
                <w:tcPr>
                  <w:tcW w:w="577" w:type="pct"/>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10%</w:t>
                  </w:r>
                </w:p>
              </w:tc>
              <w:tc>
                <w:tcPr>
                  <w:tcW w:w="1591" w:type="pct"/>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1500</w:t>
                  </w:r>
                </w:p>
              </w:tc>
            </w:tr>
            <w:tr w:rsidR="007C1EE1" w:rsidRPr="006448B0" w:rsidTr="007C1EE1">
              <w:trPr>
                <w:trHeight w:val="480"/>
              </w:trPr>
              <w:tc>
                <w:tcPr>
                  <w:tcW w:w="741" w:type="pct"/>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3</w:t>
                  </w:r>
                </w:p>
              </w:tc>
              <w:tc>
                <w:tcPr>
                  <w:tcW w:w="2091" w:type="pct"/>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超过90000元至300000元的部分</w:t>
                  </w:r>
                </w:p>
              </w:tc>
              <w:tc>
                <w:tcPr>
                  <w:tcW w:w="577" w:type="pct"/>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20%</w:t>
                  </w:r>
                </w:p>
              </w:tc>
              <w:tc>
                <w:tcPr>
                  <w:tcW w:w="1591" w:type="pct"/>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10500</w:t>
                  </w:r>
                </w:p>
              </w:tc>
            </w:tr>
            <w:tr w:rsidR="007C1EE1" w:rsidRPr="006448B0" w:rsidTr="007C1EE1">
              <w:trPr>
                <w:trHeight w:val="480"/>
              </w:trPr>
              <w:tc>
                <w:tcPr>
                  <w:tcW w:w="741" w:type="pct"/>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t>4</w:t>
                  </w:r>
                </w:p>
              </w:tc>
              <w:tc>
                <w:tcPr>
                  <w:tcW w:w="2091" w:type="pct"/>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超过300000元至</w:t>
                  </w:r>
                  <w:r w:rsidRPr="007C1EE1">
                    <w:rPr>
                      <w:rFonts w:ascii="SimSun" w:eastAsia="SimSun" w:hAnsi="SimSun" w:hint="eastAsia"/>
                      <w:spacing w:val="-20"/>
                      <w:szCs w:val="21"/>
                    </w:rPr>
                    <w:lastRenderedPageBreak/>
                    <w:t>500000元的部分</w:t>
                  </w:r>
                </w:p>
              </w:tc>
              <w:tc>
                <w:tcPr>
                  <w:tcW w:w="577" w:type="pct"/>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lastRenderedPageBreak/>
                    <w:t>30%</w:t>
                  </w:r>
                </w:p>
              </w:tc>
              <w:tc>
                <w:tcPr>
                  <w:tcW w:w="1591" w:type="pct"/>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40500</w:t>
                  </w:r>
                </w:p>
              </w:tc>
            </w:tr>
            <w:tr w:rsidR="007C1EE1" w:rsidRPr="006448B0" w:rsidTr="007C1EE1">
              <w:trPr>
                <w:trHeight w:val="480"/>
              </w:trPr>
              <w:tc>
                <w:tcPr>
                  <w:tcW w:w="741" w:type="pct"/>
                  <w:tcBorders>
                    <w:top w:val="nil"/>
                    <w:left w:val="single" w:sz="4" w:space="0" w:color="auto"/>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center"/>
                    <w:rPr>
                      <w:rFonts w:ascii="SimSun" w:eastAsia="SimSun" w:hAnsi="SimSun"/>
                      <w:szCs w:val="21"/>
                    </w:rPr>
                  </w:pPr>
                  <w:r w:rsidRPr="006448B0">
                    <w:rPr>
                      <w:rFonts w:ascii="SimSun" w:eastAsia="SimSun" w:hAnsi="SimSun" w:hint="eastAsia"/>
                      <w:szCs w:val="21"/>
                    </w:rPr>
                    <w:lastRenderedPageBreak/>
                    <w:t>5</w:t>
                  </w:r>
                </w:p>
              </w:tc>
              <w:tc>
                <w:tcPr>
                  <w:tcW w:w="2091" w:type="pct"/>
                  <w:tcBorders>
                    <w:top w:val="nil"/>
                    <w:left w:val="nil"/>
                    <w:bottom w:val="single" w:sz="4" w:space="0" w:color="auto"/>
                    <w:right w:val="single" w:sz="4" w:space="0" w:color="auto"/>
                  </w:tcBorders>
                  <w:shd w:val="clear" w:color="auto" w:fill="auto"/>
                  <w:vAlign w:val="center"/>
                </w:tcPr>
                <w:p w:rsidR="006448B0" w:rsidRPr="007C1EE1" w:rsidRDefault="006448B0" w:rsidP="008C1EBF">
                  <w:pPr>
                    <w:widowControl/>
                    <w:spacing w:line="360" w:lineRule="auto"/>
                    <w:rPr>
                      <w:rFonts w:ascii="SimSun" w:eastAsia="SimSun" w:hAnsi="SimSun"/>
                      <w:spacing w:val="-20"/>
                      <w:szCs w:val="21"/>
                    </w:rPr>
                  </w:pPr>
                  <w:r w:rsidRPr="007C1EE1">
                    <w:rPr>
                      <w:rFonts w:ascii="SimSun" w:eastAsia="SimSun" w:hAnsi="SimSun" w:hint="eastAsia"/>
                      <w:spacing w:val="-20"/>
                      <w:szCs w:val="21"/>
                    </w:rPr>
                    <w:t>超过500000元的部分</w:t>
                  </w:r>
                </w:p>
              </w:tc>
              <w:tc>
                <w:tcPr>
                  <w:tcW w:w="577" w:type="pct"/>
                  <w:tcBorders>
                    <w:top w:val="nil"/>
                    <w:left w:val="nil"/>
                    <w:bottom w:val="single" w:sz="4" w:space="0" w:color="auto"/>
                    <w:right w:val="single" w:sz="4" w:space="0" w:color="auto"/>
                  </w:tcBorders>
                  <w:shd w:val="clear" w:color="auto" w:fill="auto"/>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35%</w:t>
                  </w:r>
                </w:p>
              </w:tc>
              <w:tc>
                <w:tcPr>
                  <w:tcW w:w="1591" w:type="pct"/>
                  <w:tcBorders>
                    <w:top w:val="nil"/>
                    <w:left w:val="nil"/>
                    <w:bottom w:val="single" w:sz="4" w:space="0" w:color="auto"/>
                    <w:right w:val="single" w:sz="4" w:space="0" w:color="auto"/>
                  </w:tcBorders>
                  <w:shd w:val="clear" w:color="auto" w:fill="auto"/>
                  <w:noWrap/>
                  <w:vAlign w:val="center"/>
                </w:tcPr>
                <w:p w:rsidR="006448B0" w:rsidRPr="006448B0" w:rsidRDefault="006448B0" w:rsidP="008C1EBF">
                  <w:pPr>
                    <w:widowControl/>
                    <w:spacing w:line="360" w:lineRule="auto"/>
                    <w:jc w:val="right"/>
                    <w:rPr>
                      <w:rFonts w:ascii="SimSun" w:eastAsia="SimSun" w:hAnsi="SimSun"/>
                      <w:szCs w:val="21"/>
                    </w:rPr>
                  </w:pPr>
                  <w:r w:rsidRPr="006448B0">
                    <w:rPr>
                      <w:rFonts w:ascii="SimSun" w:eastAsia="SimSun" w:hAnsi="SimSun" w:hint="eastAsia"/>
                      <w:szCs w:val="21"/>
                    </w:rPr>
                    <w:t>65500</w:t>
                  </w:r>
                </w:p>
              </w:tc>
            </w:tr>
          </w:tbl>
          <w:p w:rsidR="006448B0" w:rsidRPr="006448B0" w:rsidRDefault="006448B0" w:rsidP="006448B0">
            <w:pPr>
              <w:spacing w:line="360" w:lineRule="auto"/>
              <w:ind w:firstLineChars="100" w:firstLine="210"/>
              <w:rPr>
                <w:rFonts w:ascii="SimSun" w:eastAsia="SimSun" w:hAnsi="SimSun"/>
                <w:szCs w:val="21"/>
              </w:rPr>
            </w:pPr>
          </w:p>
          <w:p w:rsidR="006448B0" w:rsidRPr="006448B0" w:rsidRDefault="006448B0" w:rsidP="006448B0">
            <w:pPr>
              <w:spacing w:line="360" w:lineRule="auto"/>
              <w:rPr>
                <w:rFonts w:ascii="SimSun" w:eastAsia="SimSun" w:hAnsi="SimSun"/>
                <w:szCs w:val="21"/>
              </w:rPr>
            </w:pPr>
            <w:r w:rsidRPr="006448B0">
              <w:rPr>
                <w:rFonts w:ascii="SimSun" w:eastAsia="SimSun" w:hAnsi="SimSun"/>
                <w:szCs w:val="21"/>
              </w:rPr>
              <w:t xml:space="preserve"> </w:t>
            </w:r>
          </w:p>
          <w:p w:rsidR="006448B0" w:rsidRPr="006448B0" w:rsidRDefault="006448B0" w:rsidP="006448B0">
            <w:pPr>
              <w:spacing w:line="360" w:lineRule="auto"/>
              <w:rPr>
                <w:rFonts w:ascii="SimSun" w:eastAsia="SimSun" w:hAnsi="SimSun"/>
                <w:szCs w:val="21"/>
              </w:rPr>
            </w:pPr>
            <w:r w:rsidRPr="006448B0">
              <w:rPr>
                <w:rFonts w:ascii="SimSun" w:eastAsia="SimSun" w:hAnsi="SimSun"/>
                <w:szCs w:val="21"/>
              </w:rPr>
              <w:t xml:space="preserve"> </w:t>
            </w:r>
          </w:p>
          <w:p w:rsidR="006448B0" w:rsidRPr="006448B0" w:rsidRDefault="006448B0" w:rsidP="006448B0">
            <w:pPr>
              <w:spacing w:line="360" w:lineRule="auto"/>
              <w:rPr>
                <w:rFonts w:ascii="SimSun" w:eastAsia="SimSun" w:hAnsi="SimSun"/>
                <w:szCs w:val="21"/>
              </w:rPr>
            </w:pPr>
          </w:p>
          <w:p w:rsidR="00DB5008" w:rsidRPr="006448B0" w:rsidRDefault="00DB5008" w:rsidP="00C32E2B">
            <w:pPr>
              <w:wordWrap w:val="0"/>
              <w:autoSpaceDE w:val="0"/>
              <w:autoSpaceDN w:val="0"/>
              <w:snapToGrid w:val="0"/>
              <w:spacing w:line="290" w:lineRule="atLeast"/>
              <w:rPr>
                <w:rFonts w:ascii="SimSun" w:eastAsia="SimSun" w:hAnsi="SimSun"/>
                <w:szCs w:val="21"/>
              </w:rPr>
            </w:pPr>
          </w:p>
        </w:tc>
      </w:tr>
    </w:tbl>
    <w:p w:rsidR="00100135" w:rsidRPr="00BF730B" w:rsidRDefault="00100135">
      <w:pPr>
        <w:rPr>
          <w:rFonts w:ascii="한컴바탕" w:eastAsia="한컴바탕" w:hAnsi="한컴바탕" w:cs="한컴바탕"/>
        </w:rPr>
      </w:pPr>
    </w:p>
    <w:sectPr w:rsidR="00100135" w:rsidRPr="00BF730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F4" w:rsidRDefault="008A5BF4" w:rsidP="00C278F4">
      <w:r>
        <w:separator/>
      </w:r>
    </w:p>
  </w:endnote>
  <w:endnote w:type="continuationSeparator" w:id="0">
    <w:p w:rsidR="008A5BF4" w:rsidRDefault="008A5BF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F4" w:rsidRDefault="008A5BF4" w:rsidP="00C278F4">
      <w:r>
        <w:separator/>
      </w:r>
    </w:p>
  </w:footnote>
  <w:footnote w:type="continuationSeparator" w:id="0">
    <w:p w:rsidR="008A5BF4" w:rsidRDefault="008A5BF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910122C"/>
    <w:multiLevelType w:val="hybridMultilevel"/>
    <w:tmpl w:val="8BBC2E28"/>
    <w:lvl w:ilvl="0" w:tplc="356829B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DB53F6"/>
    <w:multiLevelType w:val="hybridMultilevel"/>
    <w:tmpl w:val="F6B62614"/>
    <w:lvl w:ilvl="0" w:tplc="90F489DA">
      <w:start w:val="1"/>
      <w:numFmt w:val="japaneseCounting"/>
      <w:lvlText w:val="第%1条"/>
      <w:lvlJc w:val="left"/>
      <w:pPr>
        <w:ind w:left="1332" w:hanging="888"/>
      </w:pPr>
      <w:rPr>
        <w:rFonts w:eastAsia="SimSun"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6">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8">
    <w:nsid w:val="75B746A4"/>
    <w:multiLevelType w:val="hybridMultilevel"/>
    <w:tmpl w:val="A2E48A74"/>
    <w:lvl w:ilvl="0" w:tplc="28F83FEA">
      <w:start w:val="1"/>
      <w:numFmt w:val="decimal"/>
      <w:lvlText w:val="(%1)"/>
      <w:lvlJc w:val="left"/>
      <w:pPr>
        <w:ind w:left="1238" w:hanging="420"/>
      </w:pPr>
      <w:rPr>
        <w:rFonts w:hint="eastAsia"/>
      </w:r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1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5"/>
  </w:num>
  <w:num w:numId="2">
    <w:abstractNumId w:val="12"/>
  </w:num>
  <w:num w:numId="3">
    <w:abstractNumId w:val="3"/>
  </w:num>
  <w:num w:numId="4">
    <w:abstractNumId w:val="6"/>
  </w:num>
  <w:num w:numId="5">
    <w:abstractNumId w:val="17"/>
  </w:num>
  <w:num w:numId="6">
    <w:abstractNumId w:val="19"/>
  </w:num>
  <w:num w:numId="7">
    <w:abstractNumId w:val="11"/>
  </w:num>
  <w:num w:numId="8">
    <w:abstractNumId w:val="0"/>
  </w:num>
  <w:num w:numId="9">
    <w:abstractNumId w:val="10"/>
  </w:num>
  <w:num w:numId="10">
    <w:abstractNumId w:val="8"/>
  </w:num>
  <w:num w:numId="11">
    <w:abstractNumId w:val="14"/>
  </w:num>
  <w:num w:numId="12">
    <w:abstractNumId w:val="20"/>
  </w:num>
  <w:num w:numId="13">
    <w:abstractNumId w:val="13"/>
  </w:num>
  <w:num w:numId="14">
    <w:abstractNumId w:val="9"/>
  </w:num>
  <w:num w:numId="15">
    <w:abstractNumId w:val="4"/>
  </w:num>
  <w:num w:numId="16">
    <w:abstractNumId w:val="16"/>
  </w:num>
  <w:num w:numId="17">
    <w:abstractNumId w:val="2"/>
  </w:num>
  <w:num w:numId="18">
    <w:abstractNumId w:val="5"/>
  </w:num>
  <w:num w:numId="19">
    <w:abstractNumId w:val="1"/>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5F42"/>
    <w:rsid w:val="000D115A"/>
    <w:rsid w:val="00100135"/>
    <w:rsid w:val="00135A6C"/>
    <w:rsid w:val="00140993"/>
    <w:rsid w:val="0016200D"/>
    <w:rsid w:val="00193007"/>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C75A6"/>
    <w:rsid w:val="003D3255"/>
    <w:rsid w:val="00444F1B"/>
    <w:rsid w:val="00462B64"/>
    <w:rsid w:val="00470D1E"/>
    <w:rsid w:val="00484314"/>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448B0"/>
    <w:rsid w:val="006E2B22"/>
    <w:rsid w:val="006F037F"/>
    <w:rsid w:val="00712549"/>
    <w:rsid w:val="007428D2"/>
    <w:rsid w:val="00754EB6"/>
    <w:rsid w:val="00763D92"/>
    <w:rsid w:val="00793DEF"/>
    <w:rsid w:val="007A34FC"/>
    <w:rsid w:val="007B1D46"/>
    <w:rsid w:val="007B625E"/>
    <w:rsid w:val="007C1EE1"/>
    <w:rsid w:val="0080100B"/>
    <w:rsid w:val="008026B7"/>
    <w:rsid w:val="00820E98"/>
    <w:rsid w:val="00844C62"/>
    <w:rsid w:val="00895A68"/>
    <w:rsid w:val="00896D67"/>
    <w:rsid w:val="008A5BF4"/>
    <w:rsid w:val="008B62AF"/>
    <w:rsid w:val="008C1C3A"/>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F730B"/>
    <w:rsid w:val="00C278F4"/>
    <w:rsid w:val="00C32E2B"/>
    <w:rsid w:val="00C810C6"/>
    <w:rsid w:val="00CC1207"/>
    <w:rsid w:val="00CC5D08"/>
    <w:rsid w:val="00CD4421"/>
    <w:rsid w:val="00CD5ACF"/>
    <w:rsid w:val="00CE46B1"/>
    <w:rsid w:val="00D122A0"/>
    <w:rsid w:val="00D16B85"/>
    <w:rsid w:val="00D420AB"/>
    <w:rsid w:val="00D44DCD"/>
    <w:rsid w:val="00DB5008"/>
    <w:rsid w:val="00DC175C"/>
    <w:rsid w:val="00DC50B8"/>
    <w:rsid w:val="00DD0992"/>
    <w:rsid w:val="00DE1ABE"/>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1115</Words>
  <Characters>3347</Characters>
  <Application>Microsoft Office Word</Application>
  <DocSecurity>0</DocSecurity>
  <Lines>278</Lines>
  <Paragraphs>202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Windows 사용자</cp:lastModifiedBy>
  <cp:revision>5</cp:revision>
  <dcterms:created xsi:type="dcterms:W3CDTF">2016-01-15T03:23:00Z</dcterms:created>
  <dcterms:modified xsi:type="dcterms:W3CDTF">2018-09-12T09:15:00Z</dcterms:modified>
</cp:coreProperties>
</file>