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D3F1D" w:rsidRPr="007D3F1D" w:rsidRDefault="007D3F1D" w:rsidP="007D3F1D">
            <w:pPr>
              <w:wordWrap w:val="0"/>
              <w:autoSpaceDN w:val="0"/>
              <w:snapToGrid w:val="0"/>
              <w:spacing w:line="290" w:lineRule="atLeast"/>
              <w:jc w:val="center"/>
              <w:rPr>
                <w:rFonts w:ascii="한컴바탕" w:eastAsia="한컴바탕" w:hAnsi="한컴바탕" w:cs="한컴바탕"/>
                <w:b/>
                <w:sz w:val="26"/>
                <w:szCs w:val="26"/>
                <w:lang w:eastAsia="ko-KR"/>
              </w:rPr>
            </w:pPr>
            <w:r w:rsidRPr="007D3F1D">
              <w:rPr>
                <w:rFonts w:ascii="한컴바탕" w:eastAsia="한컴바탕" w:hAnsi="한컴바탕" w:cs="한컴바탕"/>
                <w:b/>
                <w:sz w:val="26"/>
                <w:szCs w:val="26"/>
                <w:lang w:eastAsia="ko-KR"/>
              </w:rPr>
              <w:t>&lt;국가세무총국의 경비지출 수입환산방식에 따라 비거주자기업 과세소득액을 사정하는 계산공식 수정에 관한 공고&gt;에 관한 해설</w:t>
            </w:r>
          </w:p>
          <w:p w:rsidR="007D3F1D" w:rsidRDefault="007D3F1D" w:rsidP="007D3F1D">
            <w:pPr>
              <w:wordWrap w:val="0"/>
              <w:autoSpaceDN w:val="0"/>
              <w:snapToGrid w:val="0"/>
              <w:spacing w:line="290" w:lineRule="atLeast"/>
              <w:jc w:val="center"/>
              <w:rPr>
                <w:rFonts w:ascii="한컴바탕" w:eastAsia="한컴바탕" w:hAnsi="한컴바탕" w:cs="한컴바탕" w:hint="eastAsia"/>
                <w:spacing w:val="-6"/>
                <w:szCs w:val="21"/>
              </w:rPr>
            </w:pPr>
            <w:r>
              <w:rPr>
                <w:rFonts w:ascii="한컴바탕" w:eastAsia="한컴바탕" w:hAnsi="한컴바탕" w:cs="한컴바탕" w:hint="eastAsia"/>
                <w:spacing w:val="-6"/>
                <w:szCs w:val="21"/>
              </w:rPr>
              <w:t xml:space="preserve">       </w:t>
            </w:r>
            <w:r w:rsidRPr="007D3F1D">
              <w:rPr>
                <w:rFonts w:ascii="한컴바탕" w:eastAsia="한컴바탕" w:hAnsi="한컴바탕" w:cs="한컴바탕" w:hint="eastAsia"/>
                <w:spacing w:val="-6"/>
                <w:szCs w:val="21"/>
                <w:lang w:eastAsia="ko-KR"/>
              </w:rPr>
              <w:t>발표일자</w:t>
            </w:r>
            <w:r w:rsidRPr="007D3F1D">
              <w:rPr>
                <w:rFonts w:ascii="한컴바탕" w:eastAsia="한컴바탕" w:hAnsi="한컴바탕" w:cs="한컴바탕"/>
                <w:spacing w:val="-6"/>
                <w:szCs w:val="21"/>
                <w:lang w:eastAsia="ko-KR"/>
              </w:rPr>
              <w:t xml:space="preserve">: 2016년5월10일      </w:t>
            </w:r>
          </w:p>
          <w:p w:rsidR="007D3F1D" w:rsidRPr="007D3F1D" w:rsidRDefault="007D3F1D" w:rsidP="007D3F1D">
            <w:pPr>
              <w:wordWrap w:val="0"/>
              <w:autoSpaceDN w:val="0"/>
              <w:snapToGrid w:val="0"/>
              <w:spacing w:line="290" w:lineRule="atLeast"/>
              <w:jc w:val="center"/>
              <w:rPr>
                <w:rFonts w:ascii="한컴바탕" w:eastAsia="한컴바탕" w:hAnsi="한컴바탕" w:cs="한컴바탕"/>
                <w:spacing w:val="-6"/>
                <w:szCs w:val="21"/>
                <w:lang w:eastAsia="ko-KR"/>
              </w:rPr>
            </w:pPr>
            <w:r w:rsidRPr="007D3F1D">
              <w:rPr>
                <w:rFonts w:ascii="한컴바탕" w:eastAsia="한컴바탕" w:hAnsi="한컴바탕" w:cs="한컴바탕"/>
                <w:spacing w:val="-6"/>
                <w:szCs w:val="21"/>
                <w:lang w:eastAsia="ko-KR"/>
              </w:rPr>
              <w:t>출처: 국가세무총국관청</w:t>
            </w:r>
          </w:p>
          <w:p w:rsidR="007D3F1D" w:rsidRPr="007D3F1D" w:rsidRDefault="007D3F1D" w:rsidP="007D3F1D">
            <w:pPr>
              <w:wordWrap w:val="0"/>
              <w:autoSpaceDN w:val="0"/>
              <w:snapToGrid w:val="0"/>
              <w:spacing w:line="290" w:lineRule="atLeast"/>
              <w:jc w:val="left"/>
              <w:rPr>
                <w:rFonts w:ascii="한컴바탕" w:eastAsia="한컴바탕" w:hAnsi="한컴바탕" w:cs="한컴바탕"/>
                <w:spacing w:val="-6"/>
                <w:szCs w:val="21"/>
                <w:lang w:eastAsia="ko-KR"/>
              </w:rPr>
            </w:pPr>
          </w:p>
          <w:p w:rsidR="007D3F1D" w:rsidRPr="007D3F1D" w:rsidRDefault="007D3F1D" w:rsidP="007D3F1D">
            <w:pPr>
              <w:wordWrap w:val="0"/>
              <w:autoSpaceDN w:val="0"/>
              <w:snapToGrid w:val="0"/>
              <w:spacing w:line="290" w:lineRule="atLeast"/>
              <w:jc w:val="left"/>
              <w:rPr>
                <w:rFonts w:ascii="한컴바탕" w:eastAsia="한컴바탕" w:hAnsi="한컴바탕" w:cs="한컴바탕"/>
                <w:spacing w:val="-6"/>
                <w:szCs w:val="21"/>
                <w:lang w:eastAsia="ko-KR"/>
              </w:rPr>
            </w:pPr>
          </w:p>
          <w:p w:rsidR="007D3F1D" w:rsidRPr="007D3F1D" w:rsidRDefault="007D3F1D" w:rsidP="007D3F1D">
            <w:pPr>
              <w:wordWrap w:val="0"/>
              <w:autoSpaceDN w:val="0"/>
              <w:snapToGrid w:val="0"/>
              <w:spacing w:line="290" w:lineRule="atLeast"/>
              <w:ind w:firstLineChars="100" w:firstLine="210"/>
              <w:jc w:val="left"/>
              <w:rPr>
                <w:rFonts w:ascii="한컴바탕" w:eastAsia="한컴바탕" w:hAnsi="한컴바탕" w:cs="한컴바탕" w:hint="eastAsia"/>
                <w:szCs w:val="21"/>
                <w:lang w:eastAsia="ko-KR"/>
              </w:rPr>
            </w:pPr>
            <w:r w:rsidRPr="007D3F1D">
              <w:rPr>
                <w:rFonts w:ascii="한컴바탕" w:eastAsia="한컴바탕" w:hAnsi="한컴바탕" w:cs="한컴바탕"/>
                <w:szCs w:val="21"/>
                <w:lang w:eastAsia="ko-KR"/>
              </w:rPr>
              <w:t xml:space="preserve">&lt;국가세무총국의 &lt;외국기업상주대표기구 세수관리임시방법&gt; 배포에 관한 통지&gt;(국세발[2010]18호)와 &lt;국가세무총국의 &lt;비거주자기업소득세 사정∙징수관리방법&gt; 배포에 관한 통지&gt;(국세발[2010]19호, 이하 “19호문”라 약칭)에서 비거주자기업소득세 사정∙징수하는 방식을 규정하였으며, 그 중 한가지 방식이 경비지출에 따라 수입을 환산한 후 과세소득액을 계산하는 것이다. </w:t>
            </w:r>
          </w:p>
          <w:p w:rsidR="007D3F1D" w:rsidRPr="007D3F1D" w:rsidRDefault="007D3F1D" w:rsidP="007D3F1D">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7D3F1D">
              <w:rPr>
                <w:rFonts w:ascii="한컴바탕" w:eastAsia="한컴바탕" w:hAnsi="한컴바탕" w:cs="한컴바탕" w:hint="eastAsia"/>
                <w:spacing w:val="-6"/>
                <w:szCs w:val="21"/>
                <w:lang w:eastAsia="ko-KR"/>
              </w:rPr>
              <w:t>국무원의</w:t>
            </w:r>
            <w:r w:rsidRPr="007D3F1D">
              <w:rPr>
                <w:rFonts w:ascii="한컴바탕" w:eastAsia="한컴바탕" w:hAnsi="한컴바탕" w:cs="한컴바탕"/>
                <w:spacing w:val="-6"/>
                <w:szCs w:val="21"/>
                <w:lang w:eastAsia="ko-KR"/>
              </w:rPr>
              <w:t xml:space="preserve"> 통일적 업무분담에 근거하여 2016년 5월 1일부터 전국 범위 내 영업세의 증치세 개정∙징수 (이하 ‘영개증’이라 약칭) 시행을 전면 추진하고, 영개증 이후 기존 영업세를 납부한 수입을 증치세 납부로 개정하는 것에 대해 영업세는 세액포함가격이고, 증치세는 가격 외 세금이기 때문에 상술한 문건 중 사정∙징수방식의 과세소득액에 관한 계산공식은 비거주자기업 과세소득액을 정확히 환산할 수 없어 이에 계산공식을 다음과 같이 수정한다</w:t>
            </w:r>
            <w:r>
              <w:rPr>
                <w:rFonts w:ascii="한컴바탕" w:eastAsia="한컴바탕" w:hAnsi="한컴바탕" w:cs="한컴바탕"/>
                <w:spacing w:val="-6"/>
                <w:szCs w:val="21"/>
                <w:lang w:eastAsia="ko-KR"/>
              </w:rPr>
              <w:t>.</w:t>
            </w:r>
          </w:p>
          <w:p w:rsidR="007D3F1D" w:rsidRPr="007D3F1D" w:rsidRDefault="007D3F1D" w:rsidP="007D3F1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3F1D">
              <w:rPr>
                <w:rFonts w:ascii="한컴바탕" w:eastAsia="한컴바탕" w:hAnsi="한컴바탕" w:cs="한컴바탕" w:hint="eastAsia"/>
                <w:spacing w:val="-6"/>
                <w:szCs w:val="21"/>
                <w:lang w:eastAsia="ko-KR"/>
              </w:rPr>
              <w:t>과세소득액</w:t>
            </w:r>
            <w:r w:rsidRPr="007D3F1D">
              <w:rPr>
                <w:rFonts w:ascii="한컴바탕" w:eastAsia="한컴바탕" w:hAnsi="한컴바탕" w:cs="한컴바탕"/>
                <w:spacing w:val="-6"/>
                <w:szCs w:val="21"/>
                <w:lang w:eastAsia="ko-KR"/>
              </w:rPr>
              <w:t>=당기(</w:t>
            </w:r>
            <w:r w:rsidRPr="007D3F1D">
              <w:rPr>
                <w:rFonts w:ascii="한컴바탕" w:eastAsia="한컴바탕" w:hAnsi="한컴바탕" w:cs="한컴바탕" w:hint="eastAsia"/>
                <w:spacing w:val="-6"/>
                <w:szCs w:val="21"/>
                <w:lang w:eastAsia="ko-KR"/>
              </w:rPr>
              <w:t>期</w:t>
            </w:r>
            <w:r w:rsidRPr="007D3F1D">
              <w:rPr>
                <w:rFonts w:ascii="한컴바탕" w:eastAsia="한컴바탕" w:hAnsi="한컴바탕" w:cs="한컴바탕"/>
                <w:spacing w:val="-6"/>
                <w:szCs w:val="21"/>
                <w:lang w:eastAsia="ko-KR"/>
              </w:rPr>
              <w:t>) 경비지출액/ (1-사정이윤율) × 사정이윤율</w:t>
            </w:r>
          </w:p>
          <w:p w:rsidR="007D3F1D" w:rsidRPr="007D3F1D" w:rsidRDefault="007D3F1D" w:rsidP="007D3F1D">
            <w:pPr>
              <w:wordWrap w:val="0"/>
              <w:autoSpaceDN w:val="0"/>
              <w:snapToGrid w:val="0"/>
              <w:spacing w:line="290" w:lineRule="atLeast"/>
              <w:ind w:firstLineChars="100" w:firstLine="222"/>
              <w:jc w:val="left"/>
              <w:rPr>
                <w:rFonts w:ascii="한컴바탕" w:eastAsia="한컴바탕" w:hAnsi="한컴바탕" w:cs="한컴바탕"/>
                <w:spacing w:val="6"/>
                <w:szCs w:val="21"/>
                <w:lang w:eastAsia="ko-KR"/>
              </w:rPr>
            </w:pPr>
            <w:r w:rsidRPr="007D3F1D">
              <w:rPr>
                <w:rFonts w:ascii="한컴바탕" w:eastAsia="한컴바탕" w:hAnsi="한컴바탕" w:cs="한컴바탕" w:hint="eastAsia"/>
                <w:spacing w:val="6"/>
                <w:szCs w:val="21"/>
                <w:lang w:eastAsia="ko-KR"/>
              </w:rPr>
              <w:t>신고징수절차의</w:t>
            </w:r>
            <w:r w:rsidRPr="007D3F1D">
              <w:rPr>
                <w:rFonts w:ascii="한컴바탕" w:eastAsia="한컴바탕" w:hAnsi="한컴바탕" w:cs="한컴바탕"/>
                <w:spacing w:val="6"/>
                <w:szCs w:val="21"/>
                <w:lang w:eastAsia="ko-KR"/>
              </w:rPr>
              <w:t xml:space="preserve"> 정확한 계산을 보증하기 위하여, &lt;국가세무총국의 &lt;중화인민공화국 비거주자기업소득세 연도납세신고서&gt;등 신고서 배포에 관한 공고&gt;(국가세무총국공고2015년제30호) 중 상응하는 신고서의 작성설명, 즉 &lt;중화인민공화국 비거주자기업소득세 분기 및 연도납세신고서(사정∙징수기업에 적용) / (상설기구와 국제운송 면세신고 구성하지 않음)&gt; 작성설명 중 “경비지출환산에 따른 과세소득액의 계산” 중 “환산한 수입액”의 계산공식도 함께 수정한다.</w:t>
            </w:r>
          </w:p>
          <w:p w:rsidR="007D3F1D" w:rsidRPr="007D3F1D" w:rsidRDefault="007D3F1D" w:rsidP="007D3F1D">
            <w:pPr>
              <w:wordWrap w:val="0"/>
              <w:autoSpaceDN w:val="0"/>
              <w:snapToGrid w:val="0"/>
              <w:spacing w:line="290" w:lineRule="atLeast"/>
              <w:jc w:val="left"/>
              <w:rPr>
                <w:rFonts w:ascii="한컴바탕" w:eastAsia="한컴바탕" w:hAnsi="한컴바탕" w:cs="한컴바탕"/>
                <w:spacing w:val="-6"/>
                <w:szCs w:val="21"/>
                <w:lang w:eastAsia="ko-KR"/>
              </w:rPr>
            </w:pPr>
          </w:p>
          <w:p w:rsidR="007D3F1D" w:rsidRPr="007D3F1D" w:rsidRDefault="007D3F1D" w:rsidP="007D3F1D">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7D3F1D">
              <w:rPr>
                <w:rFonts w:ascii="한컴바탕" w:eastAsia="한컴바탕" w:hAnsi="한컴바탕" w:cs="한컴바탕" w:hint="eastAsia"/>
                <w:spacing w:val="-6"/>
                <w:szCs w:val="21"/>
                <w:lang w:eastAsia="ko-KR"/>
              </w:rPr>
              <w:t>주관세무기관은</w:t>
            </w:r>
            <w:r w:rsidRPr="007D3F1D">
              <w:rPr>
                <w:rFonts w:ascii="한컴바탕" w:eastAsia="한컴바탕" w:hAnsi="한컴바탕" w:cs="한컴바탕"/>
                <w:spacing w:val="-6"/>
                <w:szCs w:val="21"/>
                <w:lang w:eastAsia="ko-KR"/>
              </w:rPr>
              <w:t xml:space="preserve"> 영개증 이후, 조건에 부합하는 비거주자기업에 대해 경비지출의 수입환산에 따라 과세소득액을 조사 결정할 경우 19호문에 확정된 이윤율 범위 내에서 계속 결정하여야 한다.</w:t>
            </w:r>
          </w:p>
          <w:p w:rsidR="00F6633C" w:rsidRPr="007D3F1D" w:rsidRDefault="007D3F1D" w:rsidP="007D3F1D">
            <w:pPr>
              <w:wordWrap w:val="0"/>
              <w:autoSpaceDN w:val="0"/>
              <w:snapToGrid w:val="0"/>
              <w:spacing w:line="290" w:lineRule="atLeast"/>
              <w:jc w:val="left"/>
              <w:rPr>
                <w:rFonts w:ascii="한컴바탕" w:eastAsia="한컴바탕" w:hAnsi="한컴바탕" w:cs="한컴바탕"/>
                <w:spacing w:val="-6"/>
                <w:szCs w:val="21"/>
                <w:lang w:eastAsia="ko-KR"/>
              </w:rPr>
            </w:pPr>
            <w:r w:rsidRPr="007D3F1D">
              <w:rPr>
                <w:rFonts w:ascii="한컴바탕" w:eastAsia="한컴바탕" w:hAnsi="한컴바탕" w:cs="한컴바탕" w:hint="eastAsia"/>
                <w:spacing w:val="-6"/>
                <w:szCs w:val="21"/>
                <w:lang w:eastAsia="ko-KR"/>
              </w:rPr>
              <w:lastRenderedPageBreak/>
              <w:t>본</w:t>
            </w:r>
            <w:r w:rsidRPr="007D3F1D">
              <w:rPr>
                <w:rFonts w:ascii="한컴바탕" w:eastAsia="한컴바탕" w:hAnsi="한컴바탕" w:cs="한컴바탕"/>
                <w:spacing w:val="-6"/>
                <w:szCs w:val="21"/>
                <w:lang w:eastAsia="ko-KR"/>
              </w:rPr>
              <w:t xml:space="preserve"> 공고의 집행기간과 영개증 시행 전면 추진은 함께 유지시키며, 즉 2016년 5월 1일부터 시행한다.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D3F1D" w:rsidRPr="007D3F1D" w:rsidRDefault="007D3F1D" w:rsidP="007D3F1D">
            <w:pPr>
              <w:wordWrap w:val="0"/>
              <w:autoSpaceDE w:val="0"/>
              <w:autoSpaceDN w:val="0"/>
              <w:snapToGrid w:val="0"/>
              <w:spacing w:line="290" w:lineRule="atLeast"/>
              <w:jc w:val="center"/>
              <w:rPr>
                <w:rFonts w:ascii="SimSun" w:eastAsia="SimSun" w:hAnsi="SimSun"/>
                <w:b/>
                <w:sz w:val="26"/>
                <w:szCs w:val="26"/>
              </w:rPr>
            </w:pPr>
            <w:r w:rsidRPr="007D3F1D">
              <w:rPr>
                <w:rFonts w:ascii="SimSun" w:eastAsia="SimSun" w:hAnsi="SimSun" w:hint="eastAsia"/>
                <w:b/>
                <w:sz w:val="26"/>
                <w:szCs w:val="26"/>
              </w:rPr>
              <w:t>关于《国家税务总局关于修改按经费支出换算收入方式核定非居民企业应纳税所得额计算公式的公告》的解读</w:t>
            </w:r>
          </w:p>
          <w:p w:rsidR="007D3F1D" w:rsidRDefault="007D3F1D" w:rsidP="007D3F1D">
            <w:pPr>
              <w:wordWrap w:val="0"/>
              <w:autoSpaceDE w:val="0"/>
              <w:autoSpaceDN w:val="0"/>
              <w:snapToGrid w:val="0"/>
              <w:spacing w:line="290" w:lineRule="atLeast"/>
              <w:jc w:val="center"/>
              <w:rPr>
                <w:rFonts w:ascii="SimSun" w:eastAsia="SimSun" w:hAnsi="SimSun" w:hint="eastAsia"/>
                <w:szCs w:val="21"/>
              </w:rPr>
            </w:pPr>
            <w:r w:rsidRPr="007D3F1D">
              <w:rPr>
                <w:rFonts w:ascii="SimSun" w:eastAsia="SimSun" w:hAnsi="SimSun" w:hint="eastAsia"/>
                <w:szCs w:val="21"/>
              </w:rPr>
              <w:t>发布日期：</w:t>
            </w:r>
            <w:r w:rsidRPr="007D3F1D">
              <w:rPr>
                <w:rFonts w:ascii="SimSun" w:eastAsia="SimSun" w:hAnsi="SimSun"/>
                <w:szCs w:val="21"/>
              </w:rPr>
              <w:t>2016</w:t>
            </w:r>
            <w:r w:rsidRPr="007D3F1D">
              <w:rPr>
                <w:rFonts w:ascii="SimSun" w:eastAsia="SimSun" w:hAnsi="SimSun" w:hint="eastAsia"/>
                <w:szCs w:val="21"/>
              </w:rPr>
              <w:t>年</w:t>
            </w:r>
            <w:r w:rsidRPr="007D3F1D">
              <w:rPr>
                <w:rFonts w:ascii="SimSun" w:eastAsia="SimSun" w:hAnsi="SimSun"/>
                <w:szCs w:val="21"/>
              </w:rPr>
              <w:t>05</w:t>
            </w:r>
            <w:r w:rsidRPr="007D3F1D">
              <w:rPr>
                <w:rFonts w:ascii="SimSun" w:eastAsia="SimSun" w:hAnsi="SimSun" w:hint="eastAsia"/>
                <w:szCs w:val="21"/>
              </w:rPr>
              <w:t>月</w:t>
            </w:r>
            <w:r w:rsidRPr="007D3F1D">
              <w:rPr>
                <w:rFonts w:ascii="SimSun" w:eastAsia="SimSun" w:hAnsi="SimSun"/>
                <w:szCs w:val="21"/>
              </w:rPr>
              <w:t>10</w:t>
            </w:r>
            <w:r w:rsidRPr="007D3F1D">
              <w:rPr>
                <w:rFonts w:ascii="SimSun" w:eastAsia="SimSun" w:hAnsi="SimSun" w:hint="eastAsia"/>
                <w:szCs w:val="21"/>
              </w:rPr>
              <w:t>日</w:t>
            </w:r>
          </w:p>
          <w:p w:rsidR="007D3F1D" w:rsidRDefault="007D3F1D" w:rsidP="007D3F1D">
            <w:pPr>
              <w:wordWrap w:val="0"/>
              <w:autoSpaceDE w:val="0"/>
              <w:autoSpaceDN w:val="0"/>
              <w:snapToGrid w:val="0"/>
              <w:spacing w:line="290" w:lineRule="atLeast"/>
              <w:jc w:val="center"/>
              <w:rPr>
                <w:rFonts w:ascii="SimSun" w:eastAsia="SimSun" w:hAnsi="SimSun" w:hint="eastAsia"/>
                <w:szCs w:val="21"/>
              </w:rPr>
            </w:pPr>
            <w:r w:rsidRPr="007D3F1D">
              <w:rPr>
                <w:rFonts w:ascii="SimSun" w:eastAsia="SimSun" w:hAnsi="SimSun" w:hint="eastAsia"/>
                <w:szCs w:val="21"/>
              </w:rPr>
              <w:t>来源：国家税务总局办公厅</w:t>
            </w:r>
          </w:p>
          <w:p w:rsidR="007D3F1D" w:rsidRDefault="007D3F1D" w:rsidP="007D3F1D">
            <w:pPr>
              <w:wordWrap w:val="0"/>
              <w:autoSpaceDE w:val="0"/>
              <w:autoSpaceDN w:val="0"/>
              <w:snapToGrid w:val="0"/>
              <w:spacing w:line="290" w:lineRule="atLeast"/>
              <w:jc w:val="center"/>
              <w:rPr>
                <w:rFonts w:ascii="SimSun" w:eastAsia="SimSun" w:hAnsi="SimSun" w:hint="eastAsia"/>
                <w:szCs w:val="21"/>
              </w:rPr>
            </w:pPr>
          </w:p>
          <w:p w:rsidR="007D3F1D" w:rsidRPr="007D3F1D" w:rsidRDefault="007D3F1D" w:rsidP="007D3F1D">
            <w:pPr>
              <w:wordWrap w:val="0"/>
              <w:autoSpaceDE w:val="0"/>
              <w:autoSpaceDN w:val="0"/>
              <w:snapToGrid w:val="0"/>
              <w:spacing w:line="290" w:lineRule="atLeast"/>
              <w:jc w:val="center"/>
              <w:rPr>
                <w:rFonts w:ascii="SimSun" w:eastAsia="SimSun" w:hAnsi="SimSun"/>
                <w:szCs w:val="21"/>
              </w:rPr>
            </w:pPr>
          </w:p>
          <w:p w:rsidR="007D3F1D" w:rsidRPr="007D3F1D" w:rsidRDefault="007D3F1D" w:rsidP="007D3F1D">
            <w:pPr>
              <w:wordWrap w:val="0"/>
              <w:autoSpaceDE w:val="0"/>
              <w:autoSpaceDN w:val="0"/>
              <w:snapToGrid w:val="0"/>
              <w:spacing w:line="290" w:lineRule="atLeast"/>
              <w:rPr>
                <w:rFonts w:ascii="SimSun" w:eastAsia="SimSun" w:hAnsi="SimSun"/>
                <w:szCs w:val="21"/>
              </w:rPr>
            </w:pPr>
            <w:r w:rsidRPr="007D3F1D">
              <w:rPr>
                <w:rFonts w:ascii="SimSun" w:eastAsia="SimSun" w:hAnsi="SimSun" w:hint="eastAsia"/>
                <w:szCs w:val="21"/>
              </w:rPr>
              <w:t xml:space="preserve">　　《国家税务总局关于印发</w:t>
            </w:r>
            <w:r w:rsidRPr="007D3F1D">
              <w:rPr>
                <w:rFonts w:ascii="SimSun" w:eastAsia="SimSun" w:hAnsi="SimSun"/>
                <w:szCs w:val="21"/>
              </w:rPr>
              <w:t>&lt;</w:t>
            </w:r>
            <w:r w:rsidRPr="007D3F1D">
              <w:rPr>
                <w:rFonts w:ascii="SimSun" w:eastAsia="SimSun" w:hAnsi="SimSun" w:hint="eastAsia"/>
                <w:szCs w:val="21"/>
              </w:rPr>
              <w:t>外国企业常驻代表机构税收管理暂行办法</w:t>
            </w:r>
            <w:r w:rsidRPr="007D3F1D">
              <w:rPr>
                <w:rFonts w:ascii="SimSun" w:eastAsia="SimSun" w:hAnsi="SimSun"/>
                <w:szCs w:val="21"/>
              </w:rPr>
              <w:t>&gt;</w:t>
            </w:r>
            <w:r w:rsidRPr="007D3F1D">
              <w:rPr>
                <w:rFonts w:ascii="SimSun" w:eastAsia="SimSun" w:hAnsi="SimSun" w:hint="eastAsia"/>
                <w:szCs w:val="21"/>
              </w:rPr>
              <w:t>的通知》（国税发〔</w:t>
            </w:r>
            <w:r w:rsidRPr="007D3F1D">
              <w:rPr>
                <w:rFonts w:ascii="SimSun" w:eastAsia="SimSun" w:hAnsi="SimSun"/>
                <w:szCs w:val="21"/>
              </w:rPr>
              <w:t>2010〕18</w:t>
            </w:r>
            <w:r w:rsidRPr="007D3F1D">
              <w:rPr>
                <w:rFonts w:ascii="SimSun" w:eastAsia="SimSun" w:hAnsi="SimSun" w:hint="eastAsia"/>
                <w:szCs w:val="21"/>
              </w:rPr>
              <w:t>号）和《国家税务总局关于印发</w:t>
            </w:r>
            <w:r w:rsidRPr="007D3F1D">
              <w:rPr>
                <w:rFonts w:ascii="SimSun" w:eastAsia="SimSun" w:hAnsi="SimSun"/>
                <w:szCs w:val="21"/>
              </w:rPr>
              <w:t>&lt;</w:t>
            </w:r>
            <w:r w:rsidRPr="007D3F1D">
              <w:rPr>
                <w:rFonts w:ascii="SimSun" w:eastAsia="SimSun" w:hAnsi="SimSun" w:hint="eastAsia"/>
                <w:szCs w:val="21"/>
              </w:rPr>
              <w:t>非居民企业所得税核定征收管理办法</w:t>
            </w:r>
            <w:r w:rsidRPr="007D3F1D">
              <w:rPr>
                <w:rFonts w:ascii="SimSun" w:eastAsia="SimSun" w:hAnsi="SimSun"/>
                <w:szCs w:val="21"/>
              </w:rPr>
              <w:t>&gt;</w:t>
            </w:r>
            <w:r w:rsidRPr="007D3F1D">
              <w:rPr>
                <w:rFonts w:ascii="SimSun" w:eastAsia="SimSun" w:hAnsi="SimSun" w:hint="eastAsia"/>
                <w:szCs w:val="21"/>
              </w:rPr>
              <w:t>的通知》（国税发〔</w:t>
            </w:r>
            <w:r w:rsidRPr="007D3F1D">
              <w:rPr>
                <w:rFonts w:ascii="SimSun" w:eastAsia="SimSun" w:hAnsi="SimSun"/>
                <w:szCs w:val="21"/>
              </w:rPr>
              <w:t>2010〕19</w:t>
            </w:r>
            <w:r w:rsidRPr="007D3F1D">
              <w:rPr>
                <w:rFonts w:ascii="SimSun" w:eastAsia="SimSun" w:hAnsi="SimSun" w:hint="eastAsia"/>
                <w:szCs w:val="21"/>
              </w:rPr>
              <w:t>号，以下称</w:t>
            </w:r>
            <w:r w:rsidRPr="007D3F1D">
              <w:rPr>
                <w:rFonts w:ascii="SimSun" w:eastAsia="SimSun" w:hAnsi="SimSun"/>
                <w:szCs w:val="21"/>
              </w:rPr>
              <w:t>19</w:t>
            </w:r>
            <w:r w:rsidRPr="007D3F1D">
              <w:rPr>
                <w:rFonts w:ascii="SimSun" w:eastAsia="SimSun" w:hAnsi="SimSun" w:hint="eastAsia"/>
                <w:szCs w:val="21"/>
              </w:rPr>
              <w:t>号文）中规定了非居民企业所得税核定征收的方式，其中一种方式就是按经费支出换算收入后计算应纳税所得额。</w:t>
            </w:r>
          </w:p>
          <w:p w:rsidR="007D3F1D" w:rsidRPr="007D3F1D" w:rsidRDefault="007D3F1D" w:rsidP="007D3F1D">
            <w:pPr>
              <w:wordWrap w:val="0"/>
              <w:autoSpaceDE w:val="0"/>
              <w:autoSpaceDN w:val="0"/>
              <w:snapToGrid w:val="0"/>
              <w:spacing w:line="290" w:lineRule="atLeast"/>
              <w:rPr>
                <w:rFonts w:ascii="SimSun" w:eastAsia="SimSun" w:hAnsi="SimSun"/>
                <w:spacing w:val="8"/>
                <w:szCs w:val="21"/>
              </w:rPr>
            </w:pPr>
            <w:r w:rsidRPr="007D3F1D">
              <w:rPr>
                <w:rFonts w:ascii="SimSun" w:eastAsia="SimSun" w:hAnsi="SimSun" w:hint="eastAsia"/>
                <w:szCs w:val="21"/>
              </w:rPr>
              <w:t xml:space="preserve">　　</w:t>
            </w:r>
            <w:r w:rsidRPr="007D3F1D">
              <w:rPr>
                <w:rFonts w:ascii="SimSun" w:eastAsia="SimSun" w:hAnsi="SimSun" w:hint="eastAsia"/>
                <w:spacing w:val="8"/>
                <w:szCs w:val="21"/>
              </w:rPr>
              <w:t>根据国务院统一部署，自</w:t>
            </w:r>
            <w:r w:rsidRPr="007D3F1D">
              <w:rPr>
                <w:rFonts w:ascii="SimSun" w:eastAsia="SimSun" w:hAnsi="SimSun"/>
                <w:spacing w:val="8"/>
                <w:szCs w:val="21"/>
              </w:rPr>
              <w:t>2016</w:t>
            </w:r>
            <w:r w:rsidRPr="007D3F1D">
              <w:rPr>
                <w:rFonts w:ascii="SimSun" w:eastAsia="SimSun" w:hAnsi="SimSun" w:hint="eastAsia"/>
                <w:spacing w:val="8"/>
                <w:szCs w:val="21"/>
              </w:rPr>
              <w:t>年</w:t>
            </w:r>
            <w:r w:rsidRPr="007D3F1D">
              <w:rPr>
                <w:rFonts w:ascii="SimSun" w:eastAsia="SimSun" w:hAnsi="SimSun"/>
                <w:spacing w:val="8"/>
                <w:szCs w:val="21"/>
              </w:rPr>
              <w:t>5</w:t>
            </w:r>
            <w:r w:rsidRPr="007D3F1D">
              <w:rPr>
                <w:rFonts w:ascii="SimSun" w:eastAsia="SimSun" w:hAnsi="SimSun" w:hint="eastAsia"/>
                <w:spacing w:val="8"/>
                <w:szCs w:val="21"/>
              </w:rPr>
              <w:t>月</w:t>
            </w:r>
            <w:r w:rsidRPr="007D3F1D">
              <w:rPr>
                <w:rFonts w:ascii="SimSun" w:eastAsia="SimSun" w:hAnsi="SimSun"/>
                <w:spacing w:val="8"/>
                <w:szCs w:val="21"/>
              </w:rPr>
              <w:t>1</w:t>
            </w:r>
            <w:r w:rsidRPr="007D3F1D">
              <w:rPr>
                <w:rFonts w:ascii="SimSun" w:eastAsia="SimSun" w:hAnsi="SimSun" w:hint="eastAsia"/>
                <w:spacing w:val="8"/>
                <w:szCs w:val="21"/>
              </w:rPr>
              <w:t>日起，在全国范围内全面推开营业税改征增值税（以下称营改增）试点，营改增后，对于原来缴纳营业税的收入改为缴纳增值税，由于营业税是价内税，增值税是价外税，上述文件中关于核定征收方式的应纳税所得额计算公式已不能准确换算非居民企业的应纳税所得额。因此，我们将计算公式修改为：</w:t>
            </w:r>
          </w:p>
          <w:p w:rsidR="007D3F1D" w:rsidRPr="007D3F1D" w:rsidRDefault="007D3F1D" w:rsidP="007D3F1D">
            <w:pPr>
              <w:wordWrap w:val="0"/>
              <w:autoSpaceDE w:val="0"/>
              <w:autoSpaceDN w:val="0"/>
              <w:snapToGrid w:val="0"/>
              <w:spacing w:line="290" w:lineRule="atLeast"/>
              <w:rPr>
                <w:rFonts w:ascii="SimSun" w:eastAsia="SimSun" w:hAnsi="SimSun"/>
                <w:szCs w:val="21"/>
              </w:rPr>
            </w:pPr>
            <w:r w:rsidRPr="007D3F1D">
              <w:rPr>
                <w:rFonts w:ascii="SimSun" w:eastAsia="SimSun" w:hAnsi="SimSun" w:hint="eastAsia"/>
                <w:szCs w:val="21"/>
              </w:rPr>
              <w:t xml:space="preserve">　　应纳税所得额</w:t>
            </w:r>
            <w:r w:rsidRPr="007D3F1D">
              <w:rPr>
                <w:rFonts w:ascii="SimSun" w:eastAsia="SimSun" w:hAnsi="SimSun"/>
                <w:szCs w:val="21"/>
              </w:rPr>
              <w:t>=</w:t>
            </w:r>
            <w:r w:rsidRPr="007D3F1D">
              <w:rPr>
                <w:rFonts w:ascii="SimSun" w:eastAsia="SimSun" w:hAnsi="SimSun" w:hint="eastAsia"/>
                <w:szCs w:val="21"/>
              </w:rPr>
              <w:t>本期经费支出额</w:t>
            </w:r>
            <w:r w:rsidRPr="007D3F1D">
              <w:rPr>
                <w:rFonts w:ascii="SimSun" w:eastAsia="SimSun" w:hAnsi="SimSun"/>
                <w:szCs w:val="21"/>
              </w:rPr>
              <w:t>/（1-</w:t>
            </w:r>
            <w:r w:rsidRPr="007D3F1D">
              <w:rPr>
                <w:rFonts w:ascii="SimSun" w:eastAsia="SimSun" w:hAnsi="SimSun" w:hint="eastAsia"/>
                <w:szCs w:val="21"/>
              </w:rPr>
              <w:t>核定利润率）×核定利润率</w:t>
            </w:r>
          </w:p>
          <w:p w:rsidR="007D3F1D" w:rsidRPr="007D3F1D" w:rsidRDefault="007D3F1D" w:rsidP="007D3F1D">
            <w:pPr>
              <w:wordWrap w:val="0"/>
              <w:autoSpaceDE w:val="0"/>
              <w:autoSpaceDN w:val="0"/>
              <w:snapToGrid w:val="0"/>
              <w:spacing w:line="290" w:lineRule="atLeast"/>
              <w:rPr>
                <w:rFonts w:ascii="SimSun" w:eastAsia="SimSun" w:hAnsi="SimSun"/>
                <w:szCs w:val="21"/>
              </w:rPr>
            </w:pPr>
            <w:r w:rsidRPr="007D3F1D">
              <w:rPr>
                <w:rFonts w:ascii="SimSun" w:eastAsia="SimSun" w:hAnsi="SimSun" w:hint="eastAsia"/>
                <w:szCs w:val="21"/>
              </w:rPr>
              <w:t xml:space="preserve">　　为保证申报征收环节的准确计算，我们对《国家税务总局关于发布</w:t>
            </w:r>
            <w:r w:rsidRPr="007D3F1D">
              <w:rPr>
                <w:rFonts w:ascii="SimSun" w:eastAsia="SimSun" w:hAnsi="SimSun"/>
                <w:szCs w:val="21"/>
              </w:rPr>
              <w:t>&lt;</w:t>
            </w:r>
            <w:r w:rsidRPr="007D3F1D">
              <w:rPr>
                <w:rFonts w:ascii="SimSun" w:eastAsia="SimSun" w:hAnsi="SimSun" w:hint="eastAsia"/>
                <w:szCs w:val="21"/>
              </w:rPr>
              <w:t>中华人民共和国非居民企业所得税年度纳税申报表</w:t>
            </w:r>
            <w:r w:rsidRPr="007D3F1D">
              <w:rPr>
                <w:rFonts w:ascii="SimSun" w:eastAsia="SimSun" w:hAnsi="SimSun"/>
                <w:szCs w:val="21"/>
              </w:rPr>
              <w:t>&gt;</w:t>
            </w:r>
            <w:r w:rsidRPr="007D3F1D">
              <w:rPr>
                <w:rFonts w:ascii="SimSun" w:eastAsia="SimSun" w:hAnsi="SimSun" w:hint="eastAsia"/>
                <w:szCs w:val="21"/>
              </w:rPr>
              <w:t>等报表的公告》（国家税务总局公告</w:t>
            </w:r>
            <w:r w:rsidRPr="007D3F1D">
              <w:rPr>
                <w:rFonts w:ascii="SimSun" w:eastAsia="SimSun" w:hAnsi="SimSun"/>
                <w:szCs w:val="21"/>
              </w:rPr>
              <w:t>2015</w:t>
            </w:r>
            <w:r w:rsidRPr="007D3F1D">
              <w:rPr>
                <w:rFonts w:ascii="SimSun" w:eastAsia="SimSun" w:hAnsi="SimSun" w:hint="eastAsia"/>
                <w:szCs w:val="21"/>
              </w:rPr>
              <w:t>年第</w:t>
            </w:r>
            <w:r w:rsidRPr="007D3F1D">
              <w:rPr>
                <w:rFonts w:ascii="SimSun" w:eastAsia="SimSun" w:hAnsi="SimSun"/>
                <w:szCs w:val="21"/>
              </w:rPr>
              <w:t>30</w:t>
            </w:r>
            <w:r w:rsidRPr="007D3F1D">
              <w:rPr>
                <w:rFonts w:ascii="SimSun" w:eastAsia="SimSun" w:hAnsi="SimSun" w:hint="eastAsia"/>
                <w:szCs w:val="21"/>
              </w:rPr>
              <w:t>号）中的相应申报表的填表说明，即《中华人民共和国非居民企业所得税季度和年度纳税申报表（适用于核定征收企业</w:t>
            </w:r>
            <w:r w:rsidRPr="007D3F1D">
              <w:rPr>
                <w:rFonts w:ascii="SimSun" w:eastAsia="SimSun" w:hAnsi="SimSun"/>
                <w:szCs w:val="21"/>
              </w:rPr>
              <w:t>)/(</w:t>
            </w:r>
            <w:r w:rsidRPr="007D3F1D">
              <w:rPr>
                <w:rFonts w:ascii="SimSun" w:eastAsia="SimSun" w:hAnsi="SimSun" w:hint="eastAsia"/>
                <w:szCs w:val="21"/>
              </w:rPr>
              <w:t>不构成常设机构和国际运输免税申报）》填表说明中“按经费支出换算应纳税所得额的计算”中的“换算的收入额”的计算公式一并进行了修改。</w:t>
            </w:r>
          </w:p>
          <w:p w:rsidR="007D3F1D" w:rsidRPr="007D3F1D" w:rsidRDefault="007D3F1D" w:rsidP="007D3F1D">
            <w:pPr>
              <w:wordWrap w:val="0"/>
              <w:autoSpaceDE w:val="0"/>
              <w:autoSpaceDN w:val="0"/>
              <w:snapToGrid w:val="0"/>
              <w:spacing w:line="290" w:lineRule="atLeast"/>
              <w:rPr>
                <w:rFonts w:ascii="SimSun" w:eastAsia="SimSun" w:hAnsi="SimSun"/>
                <w:szCs w:val="21"/>
              </w:rPr>
            </w:pPr>
            <w:r w:rsidRPr="007D3F1D">
              <w:rPr>
                <w:rFonts w:ascii="SimSun" w:eastAsia="SimSun" w:hAnsi="SimSun" w:hint="eastAsia"/>
                <w:szCs w:val="21"/>
              </w:rPr>
              <w:t xml:space="preserve">　　主管税务机关在营改增后，对符合条件的非居民企业按经费支出换算收入核定应纳税所得额的，应继续在</w:t>
            </w:r>
            <w:r w:rsidRPr="007D3F1D">
              <w:rPr>
                <w:rFonts w:ascii="SimSun" w:eastAsia="SimSun" w:hAnsi="SimSun"/>
                <w:szCs w:val="21"/>
              </w:rPr>
              <w:t>19</w:t>
            </w:r>
            <w:r w:rsidRPr="007D3F1D">
              <w:rPr>
                <w:rFonts w:ascii="SimSun" w:eastAsia="SimSun" w:hAnsi="SimSun" w:hint="eastAsia"/>
                <w:szCs w:val="21"/>
              </w:rPr>
              <w:t>号文确定的利润率范围内进行核定。</w:t>
            </w:r>
          </w:p>
          <w:p w:rsidR="007D3F1D" w:rsidRPr="007D3F1D" w:rsidRDefault="007D3F1D" w:rsidP="007D3F1D">
            <w:pPr>
              <w:wordWrap w:val="0"/>
              <w:autoSpaceDE w:val="0"/>
              <w:autoSpaceDN w:val="0"/>
              <w:snapToGrid w:val="0"/>
              <w:spacing w:line="290" w:lineRule="atLeast"/>
              <w:rPr>
                <w:rFonts w:ascii="SimSun" w:eastAsia="SimSun" w:hAnsi="SimSun"/>
                <w:szCs w:val="21"/>
              </w:rPr>
            </w:pPr>
            <w:r w:rsidRPr="007D3F1D">
              <w:rPr>
                <w:rFonts w:ascii="SimSun" w:eastAsia="SimSun" w:hAnsi="SimSun" w:hint="eastAsia"/>
                <w:szCs w:val="21"/>
              </w:rPr>
              <w:lastRenderedPageBreak/>
              <w:t xml:space="preserve">　　本公告的执行时间与全面推开营改增试点保持一致，即从</w:t>
            </w:r>
            <w:r w:rsidRPr="007D3F1D">
              <w:rPr>
                <w:rFonts w:ascii="SimSun" w:eastAsia="SimSun" w:hAnsi="SimSun"/>
                <w:szCs w:val="21"/>
              </w:rPr>
              <w:t>2016</w:t>
            </w:r>
            <w:r w:rsidRPr="007D3F1D">
              <w:rPr>
                <w:rFonts w:ascii="SimSun" w:eastAsia="SimSun" w:hAnsi="SimSun" w:hint="eastAsia"/>
                <w:szCs w:val="21"/>
              </w:rPr>
              <w:t>年</w:t>
            </w:r>
            <w:r w:rsidRPr="007D3F1D">
              <w:rPr>
                <w:rFonts w:ascii="SimSun" w:eastAsia="SimSun" w:hAnsi="SimSun"/>
                <w:szCs w:val="21"/>
              </w:rPr>
              <w:t>5</w:t>
            </w:r>
            <w:r w:rsidRPr="007D3F1D">
              <w:rPr>
                <w:rFonts w:ascii="SimSun" w:eastAsia="SimSun" w:hAnsi="SimSun" w:hint="eastAsia"/>
                <w:szCs w:val="21"/>
              </w:rPr>
              <w:t>月</w:t>
            </w:r>
            <w:r w:rsidRPr="007D3F1D">
              <w:rPr>
                <w:rFonts w:ascii="SimSun" w:eastAsia="SimSun" w:hAnsi="SimSun"/>
                <w:szCs w:val="21"/>
              </w:rPr>
              <w:t>1</w:t>
            </w:r>
            <w:r w:rsidRPr="007D3F1D">
              <w:rPr>
                <w:rFonts w:ascii="SimSun" w:eastAsia="SimSun" w:hAnsi="SimSun" w:hint="eastAsia"/>
                <w:szCs w:val="21"/>
              </w:rPr>
              <w:t>日起施行。</w:t>
            </w:r>
          </w:p>
          <w:p w:rsidR="00DB5008" w:rsidRPr="00C32E2B" w:rsidRDefault="00DB5008" w:rsidP="007D3F1D">
            <w:pPr>
              <w:wordWrap w:val="0"/>
              <w:autoSpaceDE w:val="0"/>
              <w:autoSpaceDN w:val="0"/>
              <w:snapToGrid w:val="0"/>
              <w:spacing w:line="290" w:lineRule="atLeast"/>
              <w:jc w:val="lef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701" w:rsidRDefault="004F5701" w:rsidP="00C278F4">
      <w:r>
        <w:separator/>
      </w:r>
    </w:p>
  </w:endnote>
  <w:endnote w:type="continuationSeparator" w:id="1">
    <w:p w:rsidR="004F5701" w:rsidRDefault="004F5701"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701" w:rsidRDefault="004F5701" w:rsidP="00C278F4">
      <w:r>
        <w:separator/>
      </w:r>
    </w:p>
  </w:footnote>
  <w:footnote w:type="continuationSeparator" w:id="1">
    <w:p w:rsidR="004F5701" w:rsidRDefault="004F5701"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4F5701"/>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D624C"/>
    <w:rsid w:val="006E2B22"/>
    <w:rsid w:val="006F037F"/>
    <w:rsid w:val="00712549"/>
    <w:rsid w:val="007428D2"/>
    <w:rsid w:val="00754EB6"/>
    <w:rsid w:val="00763D92"/>
    <w:rsid w:val="00793DEF"/>
    <w:rsid w:val="007A34FC"/>
    <w:rsid w:val="007B1D46"/>
    <w:rsid w:val="007B625E"/>
    <w:rsid w:val="007D3F1D"/>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261</Words>
  <Characters>1492</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2016-11-11T02:15:00Z</dcterms:modified>
</cp:coreProperties>
</file>