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7668FA" w:rsidRPr="007668FA" w:rsidRDefault="007668FA" w:rsidP="007668FA">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7668FA">
              <w:rPr>
                <w:rFonts w:ascii="Batang" w:eastAsia="Batang" w:hAnsi="Batang" w:cs="Batang" w:hint="eastAsia"/>
                <w:b/>
                <w:bCs/>
                <w:color w:val="333333"/>
                <w:sz w:val="22"/>
                <w:szCs w:val="22"/>
              </w:rPr>
              <w:t xml:space="preserve">연구개발비 </w:t>
            </w:r>
            <w:proofErr w:type="spellStart"/>
            <w:r w:rsidRPr="007668FA">
              <w:rPr>
                <w:rFonts w:ascii="Batang" w:eastAsia="Batang" w:hAnsi="Batang" w:cs="Batang" w:hint="eastAsia"/>
                <w:b/>
                <w:bCs/>
                <w:color w:val="333333"/>
                <w:sz w:val="22"/>
                <w:szCs w:val="22"/>
              </w:rPr>
              <w:t>세전</w:t>
            </w:r>
            <w:proofErr w:type="spellEnd"/>
            <w:r w:rsidRPr="007668FA">
              <w:rPr>
                <w:rFonts w:ascii="Batang" w:eastAsia="Batang" w:hAnsi="Batang" w:cs="Batang" w:hint="eastAsia"/>
                <w:b/>
                <w:bCs/>
                <w:color w:val="333333"/>
                <w:sz w:val="22"/>
                <w:szCs w:val="22"/>
              </w:rPr>
              <w:t xml:space="preserve"> 추가공제 정책을</w:t>
            </w:r>
          </w:p>
          <w:p w:rsidR="007668FA" w:rsidRPr="007668FA" w:rsidRDefault="007668FA" w:rsidP="007668FA">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rPr>
            </w:pPr>
            <w:r w:rsidRPr="007668FA">
              <w:rPr>
                <w:rFonts w:ascii="Batang" w:eastAsia="Batang" w:hAnsi="Batang" w:cs="Batang" w:hint="eastAsia"/>
                <w:b/>
                <w:bCs/>
                <w:color w:val="333333"/>
                <w:sz w:val="22"/>
                <w:szCs w:val="22"/>
              </w:rPr>
              <w:t>진일보 완비하는 것에 관한 공고</w:t>
            </w:r>
          </w:p>
          <w:p w:rsidR="007668FA" w:rsidRDefault="007668FA" w:rsidP="007668FA">
            <w:pPr>
              <w:wordWrap w:val="0"/>
              <w:overflowPunct w:val="0"/>
              <w:topLinePunct/>
              <w:autoSpaceDN w:val="0"/>
              <w:adjustRightInd w:val="0"/>
              <w:snapToGrid w:val="0"/>
              <w:spacing w:line="320" w:lineRule="exact"/>
              <w:jc w:val="center"/>
              <w:rPr>
                <w:rFonts w:ascii="宋体" w:eastAsia="宋体" w:hAnsi="宋体" w:hint="eastAsia"/>
                <w:sz w:val="22"/>
                <w:lang w:eastAsia="ko-KR"/>
              </w:rPr>
            </w:pP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세무총국 공고 2021년 제13호</w:t>
            </w:r>
          </w:p>
          <w:p w:rsidR="007668FA" w:rsidRDefault="007668FA" w:rsidP="007668FA">
            <w:pPr>
              <w:wordWrap w:val="0"/>
              <w:overflowPunct w:val="0"/>
              <w:topLinePunct/>
              <w:autoSpaceDN w:val="0"/>
              <w:adjustRightInd w:val="0"/>
              <w:snapToGrid w:val="0"/>
              <w:spacing w:line="320" w:lineRule="exact"/>
              <w:rPr>
                <w:rFonts w:ascii="宋体" w:eastAsia="宋体" w:hAnsi="宋体" w:hint="eastAsia"/>
                <w:lang w:eastAsia="ko-KR"/>
              </w:rPr>
            </w:pPr>
          </w:p>
          <w:p w:rsidR="007668FA" w:rsidRDefault="007668FA" w:rsidP="007668FA">
            <w:pPr>
              <w:wordWrap w:val="0"/>
              <w:overflowPunct w:val="0"/>
              <w:topLinePunct/>
              <w:autoSpaceDN w:val="0"/>
              <w:adjustRightInd w:val="0"/>
              <w:snapToGrid w:val="0"/>
              <w:spacing w:line="320" w:lineRule="exact"/>
              <w:rPr>
                <w:rFonts w:ascii="宋体" w:eastAsia="宋体" w:hAnsi="宋体" w:hint="eastAsia"/>
                <w:lang w:eastAsia="ko-KR"/>
              </w:rPr>
            </w:pPr>
          </w:p>
          <w:p w:rsidR="007668FA" w:rsidRDefault="007668FA" w:rsidP="007668FA">
            <w:pPr>
              <w:wordWrap w:val="0"/>
              <w:overflowPunct w:val="0"/>
              <w:autoSpaceDE w:val="0"/>
              <w:autoSpaceDN w:val="0"/>
              <w:adjustRightInd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기업이 연구개발에 대한 투입을 늘리도록 더욱 격려하고 과학기술 혁신을 지원하기 위하여, 기업 연구개발비 </w:t>
            </w:r>
            <w:proofErr w:type="spellStart"/>
            <w:r>
              <w:rPr>
                <w:rFonts w:ascii="Batang" w:eastAsia="Batang" w:hAnsi="Batang" w:hint="eastAsia"/>
                <w:sz w:val="22"/>
                <w:lang w:eastAsia="ko-KR"/>
              </w:rPr>
              <w:t>세전</w:t>
            </w:r>
            <w:proofErr w:type="spellEnd"/>
            <w:r>
              <w:rPr>
                <w:rFonts w:ascii="Batang" w:eastAsia="Batang" w:hAnsi="Batang" w:hint="eastAsia"/>
                <w:sz w:val="22"/>
                <w:lang w:eastAsia="ko-KR"/>
              </w:rPr>
              <w:t xml:space="preserve"> 추가공제 정책에 관한 문제에 대하여 아래와 같이 공고한다. </w:t>
            </w:r>
          </w:p>
          <w:p w:rsidR="007668FA" w:rsidRDefault="007668FA" w:rsidP="007668FA">
            <w:pPr>
              <w:wordWrap w:val="0"/>
              <w:overflowPunct w:val="0"/>
              <w:autoSpaceDE w:val="0"/>
              <w:autoSpaceDN w:val="0"/>
              <w:adjustRightInd w:val="0"/>
              <w:snapToGrid w:val="0"/>
              <w:spacing w:line="320" w:lineRule="exact"/>
              <w:rPr>
                <w:rFonts w:ascii="Batang" w:eastAsia="Batang" w:hAnsi="Batang" w:hint="eastAsia"/>
                <w:sz w:val="22"/>
                <w:lang w:eastAsia="ko-KR"/>
              </w:rPr>
            </w:pPr>
          </w:p>
          <w:p w:rsidR="007668FA" w:rsidRDefault="007668FA" w:rsidP="007668FA">
            <w:pPr>
              <w:wordWrap w:val="0"/>
              <w:overflowPunct w:val="0"/>
              <w:autoSpaceDE w:val="0"/>
              <w:autoSpaceDN w:val="0"/>
              <w:adjustRightInd w:val="0"/>
              <w:snapToGrid w:val="0"/>
              <w:spacing w:line="320" w:lineRule="exact"/>
              <w:ind w:firstLineChars="100" w:firstLine="220"/>
              <w:rPr>
                <w:rFonts w:ascii="Batang" w:eastAsia="Malgun Gothic" w:hAnsi="Batang" w:hint="eastAsia"/>
                <w:sz w:val="22"/>
                <w:lang w:eastAsia="ko-KR"/>
              </w:rPr>
            </w:pPr>
            <w:r>
              <w:rPr>
                <w:rFonts w:ascii="Batang" w:eastAsia="Batang" w:hAnsi="Batang" w:hint="eastAsia"/>
                <w:sz w:val="22"/>
                <w:lang w:eastAsia="ko-KR"/>
              </w:rPr>
              <w:t xml:space="preserve">1. 제조기업이 연구개발활동을 전개하는 과정에 실제로 발생한 연구개발비가 무형자산을 구성하지 않아 </w:t>
            </w:r>
            <w:proofErr w:type="spellStart"/>
            <w:r>
              <w:rPr>
                <w:rFonts w:ascii="Batang" w:eastAsia="Batang" w:hAnsi="Batang" w:hint="eastAsia"/>
                <w:sz w:val="22"/>
                <w:lang w:eastAsia="ko-KR"/>
              </w:rPr>
              <w:t>당기손익으로</w:t>
            </w:r>
            <w:proofErr w:type="spellEnd"/>
            <w:r>
              <w:rPr>
                <w:rFonts w:ascii="Batang" w:eastAsia="Batang" w:hAnsi="Batang" w:hint="eastAsia"/>
                <w:sz w:val="22"/>
                <w:lang w:eastAsia="ko-KR"/>
              </w:rPr>
              <w:t xml:space="preserve"> 계상되는 경우, 규정에 따라 사실에 입각하여 공제한다는 원칙하에 2021년 1월 1일부터 실제 발생금액의 100%를 기준으로 </w:t>
            </w:r>
            <w:proofErr w:type="spellStart"/>
            <w:r>
              <w:rPr>
                <w:rFonts w:ascii="Batang" w:eastAsia="Batang" w:hAnsi="Batang" w:hint="eastAsia"/>
                <w:sz w:val="22"/>
                <w:lang w:eastAsia="ko-KR"/>
              </w:rPr>
              <w:t>세전에</w:t>
            </w:r>
            <w:proofErr w:type="spellEnd"/>
            <w:r>
              <w:rPr>
                <w:rFonts w:ascii="Batang" w:eastAsia="Batang" w:hAnsi="Batang" w:hint="eastAsia"/>
                <w:sz w:val="22"/>
                <w:lang w:eastAsia="ko-KR"/>
              </w:rPr>
              <w:t xml:space="preserve"> 추가 공제한다. 무형자산을 구성하는 경우에는 2021년 1월 1일부터 무형자산 원가의 200%를 기준으로 </w:t>
            </w:r>
            <w:proofErr w:type="spellStart"/>
            <w:r>
              <w:rPr>
                <w:rFonts w:ascii="Batang" w:eastAsia="Batang" w:hAnsi="Batang" w:hint="eastAsia"/>
                <w:sz w:val="22"/>
                <w:lang w:eastAsia="ko-KR"/>
              </w:rPr>
              <w:t>세전</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상각한다</w:t>
            </w:r>
            <w:proofErr w:type="spellEnd"/>
            <w:r>
              <w:rPr>
                <w:rFonts w:ascii="Batang" w:eastAsia="Batang" w:hAnsi="Batang" w:hint="eastAsia"/>
                <w:sz w:val="22"/>
                <w:lang w:eastAsia="ko-KR"/>
              </w:rPr>
              <w:t>.</w:t>
            </w:r>
          </w:p>
          <w:p w:rsidR="007668FA" w:rsidRDefault="007668FA" w:rsidP="007668FA">
            <w:pPr>
              <w:wordWrap w:val="0"/>
              <w:overflowPunct w:val="0"/>
              <w:autoSpaceDE w:val="0"/>
              <w:autoSpaceDN w:val="0"/>
              <w:adjustRightInd w:val="0"/>
              <w:snapToGrid w:val="0"/>
              <w:spacing w:line="320" w:lineRule="exact"/>
              <w:rPr>
                <w:rFonts w:ascii="宋体" w:eastAsia="Malgun Gothic" w:hAnsi="宋体" w:hint="eastAsia"/>
                <w:sz w:val="22"/>
                <w:lang w:eastAsia="ko-KR"/>
              </w:rPr>
            </w:pPr>
          </w:p>
          <w:p w:rsidR="007668FA" w:rsidRDefault="007668FA" w:rsidP="007668FA">
            <w:pPr>
              <w:wordWrap w:val="0"/>
              <w:overflowPunct w:val="0"/>
              <w:autoSpaceDE w:val="0"/>
              <w:autoSpaceDN w:val="0"/>
              <w:adjustRightInd w:val="0"/>
              <w:snapToGrid w:val="0"/>
              <w:spacing w:line="320" w:lineRule="exact"/>
              <w:ind w:firstLineChars="100" w:firstLine="220"/>
              <w:rPr>
                <w:rFonts w:ascii="宋体" w:eastAsia="Malgun Gothic" w:hAnsi="宋体" w:hint="eastAsia"/>
                <w:sz w:val="22"/>
                <w:lang w:eastAsia="ko-KR"/>
              </w:rPr>
            </w:pPr>
            <w:r>
              <w:rPr>
                <w:rFonts w:ascii="Batang" w:eastAsia="Batang" w:hAnsi="Batang" w:hint="eastAsia"/>
                <w:sz w:val="22"/>
                <w:lang w:eastAsia="ko-KR"/>
              </w:rPr>
              <w:t xml:space="preserve">본 조에서 지칭하는 제조기업은 제조업 업무를 </w:t>
            </w:r>
            <w:proofErr w:type="spellStart"/>
            <w:r>
              <w:rPr>
                <w:rFonts w:ascii="Batang" w:eastAsia="Batang" w:hAnsi="Batang" w:hint="eastAsia"/>
                <w:sz w:val="22"/>
                <w:lang w:eastAsia="ko-KR"/>
              </w:rPr>
              <w:t>주비즈니스로</w:t>
            </w:r>
            <w:proofErr w:type="spellEnd"/>
            <w:r>
              <w:rPr>
                <w:rFonts w:ascii="Batang" w:eastAsia="Batang" w:hAnsi="Batang" w:hint="eastAsia"/>
                <w:sz w:val="22"/>
                <w:lang w:eastAsia="ko-KR"/>
              </w:rPr>
              <w:t xml:space="preserve"> 영위하고, 혜택을 향유하는 </w:t>
            </w:r>
            <w:proofErr w:type="spellStart"/>
            <w:r>
              <w:rPr>
                <w:rFonts w:ascii="Batang" w:eastAsia="Batang" w:hAnsi="Batang" w:hint="eastAsia"/>
                <w:sz w:val="22"/>
                <w:lang w:eastAsia="ko-KR"/>
              </w:rPr>
              <w:t>당해연도</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주매출액의</w:t>
            </w:r>
            <w:proofErr w:type="spellEnd"/>
            <w:r>
              <w:rPr>
                <w:rFonts w:ascii="Batang" w:eastAsia="Batang" w:hAnsi="Batang" w:hint="eastAsia"/>
                <w:sz w:val="22"/>
                <w:lang w:eastAsia="ko-KR"/>
              </w:rPr>
              <w:t xml:space="preserve"> 수입총액 대비 점유비율이 50% 이상인 기업을 의미한다. 제조업의 범위는 &lt;국민경제업종분류&gt;(</w:t>
            </w:r>
            <w:r>
              <w:rPr>
                <w:rFonts w:ascii="Batang" w:hAnsi="Batang" w:hint="eastAsia"/>
                <w:sz w:val="22"/>
                <w:lang w:eastAsia="ko-KR"/>
              </w:rPr>
              <w:t>GB/T4574-2017</w:t>
            </w:r>
            <w:r>
              <w:rPr>
                <w:rFonts w:ascii="Batang" w:eastAsia="Batang" w:hAnsi="Batang" w:hint="eastAsia"/>
                <w:sz w:val="22"/>
                <w:lang w:eastAsia="ko-KR"/>
              </w:rPr>
              <w:t xml:space="preserve">)에 따라 확정하고, 국가 관련부서가 &lt;국민경제업종분류&gt;를 업데이트할 경우, 해당 규정을 따른다. 수입총액은 기업소득세법 제6조 규정에 따라 집행한다. </w:t>
            </w:r>
          </w:p>
          <w:p w:rsidR="007668FA" w:rsidRDefault="007668FA" w:rsidP="007668FA">
            <w:pPr>
              <w:wordWrap w:val="0"/>
              <w:overflowPunct w:val="0"/>
              <w:autoSpaceDE w:val="0"/>
              <w:autoSpaceDN w:val="0"/>
              <w:adjustRightInd w:val="0"/>
              <w:snapToGrid w:val="0"/>
              <w:spacing w:line="320" w:lineRule="exact"/>
              <w:rPr>
                <w:rFonts w:ascii="宋体" w:eastAsia="Malgun Gothic" w:hAnsi="宋体" w:hint="eastAsia"/>
                <w:sz w:val="22"/>
                <w:lang w:eastAsia="ko-KR"/>
              </w:rPr>
            </w:pPr>
          </w:p>
          <w:p w:rsidR="007668FA" w:rsidRDefault="007668FA" w:rsidP="007668FA">
            <w:pPr>
              <w:wordWrap w:val="0"/>
              <w:overflowPunct w:val="0"/>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2. 기업이 </w:t>
            </w:r>
            <w:proofErr w:type="spellStart"/>
            <w:r>
              <w:rPr>
                <w:rFonts w:ascii="Batang" w:eastAsia="Batang" w:hAnsi="Batang" w:cs="Batang" w:hint="eastAsia"/>
                <w:sz w:val="22"/>
                <w:lang w:eastAsia="ko-KR"/>
              </w:rPr>
              <w:t>당해연도</w:t>
            </w:r>
            <w:proofErr w:type="spellEnd"/>
            <w:r>
              <w:rPr>
                <w:rFonts w:ascii="Batang" w:eastAsia="Batang" w:hAnsi="Batang" w:cs="Batang" w:hint="eastAsia"/>
                <w:sz w:val="22"/>
                <w:lang w:eastAsia="ko-KR"/>
              </w:rPr>
              <w:t xml:space="preserve"> 제3분기(분기별 예납) 또는 9월분(월별 예납) 기업소득세 예납을 신고할 때, </w:t>
            </w:r>
            <w:proofErr w:type="spellStart"/>
            <w:r>
              <w:rPr>
                <w:rFonts w:ascii="Batang" w:eastAsia="Batang" w:hAnsi="Batang" w:cs="Batang" w:hint="eastAsia"/>
                <w:sz w:val="22"/>
                <w:lang w:eastAsia="ko-KR"/>
              </w:rPr>
              <w:t>당해연도</w:t>
            </w:r>
            <w:proofErr w:type="spellEnd"/>
            <w:r>
              <w:rPr>
                <w:rFonts w:ascii="Batang" w:eastAsia="Batang" w:hAnsi="Batang" w:cs="Batang" w:hint="eastAsia"/>
                <w:sz w:val="22"/>
                <w:lang w:eastAsia="ko-KR"/>
              </w:rPr>
              <w:t xml:space="preserve"> 상반기 연구개발비에 대한 추가공제 우대정책 향유를 스스로 선택할 수 있고 ‘자가 판별, 신고 향유, 관련 자료 보관 및 비치’방식을 채택하여 처리한다.</w:t>
            </w:r>
          </w:p>
          <w:p w:rsidR="007668FA" w:rsidRDefault="007668FA" w:rsidP="007668FA">
            <w:pPr>
              <w:wordWrap w:val="0"/>
              <w:overflowPunct w:val="0"/>
              <w:autoSpaceDE w:val="0"/>
              <w:autoSpaceDN w:val="0"/>
              <w:adjustRightInd w:val="0"/>
              <w:snapToGrid w:val="0"/>
              <w:spacing w:line="320" w:lineRule="exact"/>
              <w:ind w:firstLine="435"/>
              <w:rPr>
                <w:rFonts w:ascii="宋体" w:eastAsia="Malgun Gothic" w:hAnsi="宋体" w:hint="eastAsia"/>
                <w:sz w:val="22"/>
                <w:lang w:eastAsia="ko-KR"/>
              </w:rPr>
            </w:pPr>
          </w:p>
          <w:p w:rsidR="007668FA" w:rsidRDefault="007668FA" w:rsidP="007668FA">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조건에 부합하는 기업은 스스로 추가공제 금액을 계산하고 &lt;중화인민공화국 기업소득세 월(분기)별 예납 납세 </w:t>
            </w:r>
            <w:proofErr w:type="spellStart"/>
            <w:r>
              <w:rPr>
                <w:rFonts w:ascii="Batang" w:eastAsia="Batang" w:hAnsi="Batang" w:hint="eastAsia"/>
                <w:sz w:val="22"/>
                <w:lang w:eastAsia="ko-KR"/>
              </w:rPr>
              <w:t>신고표</w:t>
            </w:r>
            <w:proofErr w:type="spellEnd"/>
            <w:r>
              <w:rPr>
                <w:rFonts w:ascii="Batang" w:eastAsia="Batang" w:hAnsi="Batang" w:hint="eastAsia"/>
                <w:sz w:val="22"/>
                <w:lang w:eastAsia="ko-KR"/>
              </w:rPr>
              <w:t>(A류)&gt;를 작</w:t>
            </w:r>
            <w:r>
              <w:rPr>
                <w:rFonts w:ascii="Batang" w:eastAsia="Batang" w:hAnsi="Batang" w:hint="eastAsia"/>
                <w:sz w:val="22"/>
                <w:lang w:eastAsia="ko-KR"/>
              </w:rPr>
              <w:lastRenderedPageBreak/>
              <w:t>성하여 세수혜택을 향유할 수 있으며, 추가공제 혜택을 향유하는 연구개발비 현황(상반기)에 근거하여 &lt;연구개발비 추가공제 혜택 명세표&gt;(</w:t>
            </w:r>
            <w:r>
              <w:rPr>
                <w:rFonts w:ascii="Batang" w:hAnsi="Batang" w:hint="eastAsia"/>
                <w:sz w:val="22"/>
                <w:lang w:eastAsia="ko-KR"/>
              </w:rPr>
              <w:t>A</w:t>
            </w:r>
            <w:r>
              <w:rPr>
                <w:rFonts w:ascii="Batang" w:eastAsia="Malgun Gothic" w:hAnsi="Batang" w:hint="eastAsia"/>
                <w:sz w:val="22"/>
                <w:lang w:eastAsia="ko-KR"/>
              </w:rPr>
              <w:t>107012</w:t>
            </w:r>
            <w:r>
              <w:rPr>
                <w:rFonts w:ascii="Batang" w:eastAsia="Batang" w:hAnsi="Batang" w:hint="eastAsia"/>
                <w:sz w:val="22"/>
                <w:lang w:eastAsia="ko-KR"/>
              </w:rPr>
              <w:t>)를 작성한다. &lt;연구개발비 추가공제 혜택 명세표&gt;(</w:t>
            </w:r>
            <w:r>
              <w:rPr>
                <w:rFonts w:ascii="Batang" w:hAnsi="Batang" w:hint="eastAsia"/>
                <w:sz w:val="22"/>
                <w:lang w:eastAsia="ko-KR"/>
              </w:rPr>
              <w:t>A</w:t>
            </w:r>
            <w:r>
              <w:rPr>
                <w:rFonts w:ascii="Batang" w:eastAsia="Malgun Gothic" w:hAnsi="Batang" w:hint="eastAsia"/>
                <w:sz w:val="22"/>
                <w:lang w:eastAsia="ko-KR"/>
              </w:rPr>
              <w:t>107012</w:t>
            </w:r>
            <w:r>
              <w:rPr>
                <w:rFonts w:ascii="Batang" w:eastAsia="Batang" w:hAnsi="Batang" w:hint="eastAsia"/>
                <w:sz w:val="22"/>
                <w:lang w:eastAsia="ko-KR"/>
              </w:rPr>
              <w:t>)는</w:t>
            </w:r>
            <w:r>
              <w:rPr>
                <w:rFonts w:ascii="Batang" w:eastAsia="Malgun Gothic" w:hAnsi="Batang" w:hint="eastAsia"/>
                <w:sz w:val="22"/>
                <w:lang w:eastAsia="ko-KR"/>
              </w:rPr>
              <w:t xml:space="preserve"> </w:t>
            </w:r>
            <w:r>
              <w:rPr>
                <w:rFonts w:ascii="Batang" w:eastAsia="Batang" w:hAnsi="Batang" w:hint="eastAsia"/>
                <w:sz w:val="22"/>
                <w:lang w:eastAsia="ko-KR"/>
              </w:rPr>
              <w:t>관련 정책에서 규정한 기타 자료와 함께 보존 및 비치한다.</w:t>
            </w:r>
          </w:p>
          <w:p w:rsidR="007668FA" w:rsidRDefault="007668FA" w:rsidP="007668FA">
            <w:pPr>
              <w:wordWrap w:val="0"/>
              <w:overflowPunct w:val="0"/>
              <w:autoSpaceDE w:val="0"/>
              <w:autoSpaceDN w:val="0"/>
              <w:adjustRightInd w:val="0"/>
              <w:snapToGrid w:val="0"/>
              <w:spacing w:line="320" w:lineRule="exact"/>
              <w:rPr>
                <w:rFonts w:ascii="Batang" w:eastAsia="Malgun Gothic" w:hAnsi="Batang" w:hint="eastAsia"/>
                <w:sz w:val="22"/>
                <w:lang w:eastAsia="ko-KR"/>
              </w:rPr>
            </w:pPr>
          </w:p>
          <w:p w:rsidR="007668FA" w:rsidRDefault="007668FA" w:rsidP="007668FA">
            <w:pPr>
              <w:wordWrap w:val="0"/>
              <w:overflowPunct w:val="0"/>
              <w:autoSpaceDE w:val="0"/>
              <w:autoSpaceDN w:val="0"/>
              <w:adjustRightInd w:val="0"/>
              <w:snapToGrid w:val="0"/>
              <w:spacing w:line="32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기업이 제3분기 또는 9월분 예납 신고를 처리하는 과정에서 연구개발비 추가공제 우대정책의 향유를 선택하지 않는 경우, 그 다음 해에 종합확정 신고납부를 처리하는 과정에서 통일적으로 향유할 수 있다.</w:t>
            </w:r>
          </w:p>
          <w:p w:rsidR="007668FA" w:rsidRDefault="007668FA" w:rsidP="007668FA">
            <w:pPr>
              <w:wordWrap w:val="0"/>
              <w:overflowPunct w:val="0"/>
              <w:autoSpaceDE w:val="0"/>
              <w:autoSpaceDN w:val="0"/>
              <w:adjustRightInd w:val="0"/>
              <w:snapToGrid w:val="0"/>
              <w:spacing w:line="320" w:lineRule="exact"/>
              <w:ind w:firstLine="435"/>
              <w:rPr>
                <w:rFonts w:ascii="宋体" w:eastAsia="宋体" w:hAnsi="宋体" w:hint="eastAsia"/>
                <w:sz w:val="22"/>
                <w:lang w:eastAsia="ko-KR"/>
              </w:rPr>
            </w:pPr>
          </w:p>
          <w:p w:rsidR="007668FA" w:rsidRDefault="007668FA" w:rsidP="007668FA">
            <w:pPr>
              <w:wordWrap w:val="0"/>
              <w:overflowPunct w:val="0"/>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3. 기업이 연구개발비 추가공제 정책을 향유하는 것과 관련된 기타 정책 조건과 관리 요구사항은 &lt;</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국가세무총국, </w:t>
            </w:r>
            <w:proofErr w:type="spellStart"/>
            <w:r>
              <w:rPr>
                <w:rFonts w:ascii="Batang" w:eastAsia="Batang" w:hAnsi="Batang" w:cs="Batang" w:hint="eastAsia"/>
                <w:sz w:val="22"/>
                <w:lang w:eastAsia="ko-KR"/>
              </w:rPr>
              <w:t>과기부의</w:t>
            </w:r>
            <w:proofErr w:type="spellEnd"/>
            <w:r>
              <w:rPr>
                <w:rFonts w:ascii="Batang" w:eastAsia="Batang" w:hAnsi="Batang" w:cs="Batang" w:hint="eastAsia"/>
                <w:sz w:val="22"/>
                <w:lang w:eastAsia="ko-KR"/>
              </w:rPr>
              <w:t xml:space="preserve"> 연구개발비 </w:t>
            </w:r>
            <w:proofErr w:type="spellStart"/>
            <w:r>
              <w:rPr>
                <w:rFonts w:ascii="Batang" w:eastAsia="Batang" w:hAnsi="Batang" w:cs="Batang" w:hint="eastAsia"/>
                <w:sz w:val="22"/>
                <w:lang w:eastAsia="ko-KR"/>
              </w:rPr>
              <w:t>세전</w:t>
            </w:r>
            <w:proofErr w:type="spellEnd"/>
            <w:r>
              <w:rPr>
                <w:rFonts w:ascii="Batang" w:eastAsia="Batang" w:hAnsi="Batang" w:cs="Batang" w:hint="eastAsia"/>
                <w:sz w:val="22"/>
                <w:lang w:eastAsia="ko-KR"/>
              </w:rPr>
              <w:t xml:space="preserve"> 추가공제 정책을 완비하는 것에 관한 통지&gt;(재세[2015]119호), &lt;</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세무총국, </w:t>
            </w:r>
            <w:proofErr w:type="spellStart"/>
            <w:r>
              <w:rPr>
                <w:rFonts w:ascii="Batang" w:eastAsia="Batang" w:hAnsi="Batang" w:cs="Batang" w:hint="eastAsia"/>
                <w:sz w:val="22"/>
                <w:lang w:eastAsia="ko-KR"/>
              </w:rPr>
              <w:t>과기부의</w:t>
            </w:r>
            <w:proofErr w:type="spellEnd"/>
            <w:r>
              <w:rPr>
                <w:rFonts w:ascii="Batang" w:eastAsia="Batang" w:hAnsi="Batang" w:cs="Batang" w:hint="eastAsia"/>
                <w:sz w:val="22"/>
                <w:lang w:eastAsia="ko-KR"/>
              </w:rPr>
              <w:t xml:space="preserve"> 기업 해외위탁 연구개발비 </w:t>
            </w:r>
            <w:proofErr w:type="spellStart"/>
            <w:r>
              <w:rPr>
                <w:rFonts w:ascii="Batang" w:eastAsia="Batang" w:hAnsi="Batang" w:cs="Batang" w:hint="eastAsia"/>
                <w:sz w:val="22"/>
                <w:lang w:eastAsia="ko-KR"/>
              </w:rPr>
              <w:t>세전</w:t>
            </w:r>
            <w:proofErr w:type="spellEnd"/>
            <w:r>
              <w:rPr>
                <w:rFonts w:ascii="Batang" w:eastAsia="Batang" w:hAnsi="Batang" w:cs="Batang" w:hint="eastAsia"/>
                <w:sz w:val="22"/>
                <w:lang w:eastAsia="ko-KR"/>
              </w:rPr>
              <w:t xml:space="preserve"> 추가공제 관련 정책 문제에 대한 통지&gt;(재세 [2018] 64호)등 문건의 관련 규정에 따라 집행한다. </w:t>
            </w:r>
          </w:p>
          <w:p w:rsidR="007668FA" w:rsidRDefault="007668FA" w:rsidP="007668FA">
            <w:pPr>
              <w:wordWrap w:val="0"/>
              <w:overflowPunct w:val="0"/>
              <w:autoSpaceDE w:val="0"/>
              <w:autoSpaceDN w:val="0"/>
              <w:adjustRightInd w:val="0"/>
              <w:snapToGrid w:val="0"/>
              <w:spacing w:line="320" w:lineRule="exact"/>
              <w:ind w:firstLineChars="100" w:firstLine="220"/>
              <w:rPr>
                <w:rFonts w:ascii="Batang" w:eastAsia="Malgun Gothic" w:hAnsi="Batang" w:cs="Batang" w:hint="eastAsia"/>
                <w:sz w:val="22"/>
                <w:lang w:eastAsia="ko-KR"/>
              </w:rPr>
            </w:pPr>
          </w:p>
          <w:p w:rsidR="007668FA" w:rsidRDefault="007668FA" w:rsidP="007668FA">
            <w:pPr>
              <w:wordWrap w:val="0"/>
              <w:overflowPunct w:val="0"/>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4. 본 공고는 2021년 1월1일부터 집행한다. </w:t>
            </w:r>
          </w:p>
          <w:p w:rsidR="007668FA" w:rsidRDefault="007668FA" w:rsidP="007668FA">
            <w:pPr>
              <w:wordWrap w:val="0"/>
              <w:overflowPunct w:val="0"/>
              <w:topLinePunct/>
              <w:autoSpaceDN w:val="0"/>
              <w:adjustRightInd w:val="0"/>
              <w:snapToGrid w:val="0"/>
              <w:spacing w:line="320" w:lineRule="exact"/>
              <w:ind w:firstLine="420"/>
              <w:rPr>
                <w:rFonts w:ascii="宋体" w:eastAsia="Malgun Gothic" w:hAnsi="宋体" w:hint="eastAsia"/>
                <w:sz w:val="22"/>
                <w:lang w:eastAsia="ko-KR"/>
              </w:rPr>
            </w:pPr>
          </w:p>
          <w:p w:rsidR="007668FA" w:rsidRDefault="007668FA" w:rsidP="007668FA">
            <w:pPr>
              <w:wordWrap w:val="0"/>
              <w:overflowPunct w:val="0"/>
              <w:topLinePunct/>
              <w:autoSpaceDN w:val="0"/>
              <w:adjustRightInd w:val="0"/>
              <w:snapToGrid w:val="0"/>
              <w:spacing w:line="32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이를 특별히 공고한다.</w:t>
            </w:r>
          </w:p>
          <w:p w:rsidR="007668FA" w:rsidRDefault="007668FA" w:rsidP="007668FA">
            <w:pPr>
              <w:wordWrap w:val="0"/>
              <w:overflowPunct w:val="0"/>
              <w:topLinePunct/>
              <w:autoSpaceDN w:val="0"/>
              <w:adjustRightInd w:val="0"/>
              <w:snapToGrid w:val="0"/>
              <w:spacing w:line="320" w:lineRule="exact"/>
              <w:ind w:firstLine="420"/>
              <w:jc w:val="right"/>
              <w:rPr>
                <w:rFonts w:ascii="宋体" w:eastAsia="宋体" w:hAnsi="宋体" w:hint="eastAsia"/>
                <w:sz w:val="22"/>
                <w:lang w:eastAsia="ko-KR"/>
              </w:rPr>
            </w:pPr>
            <w:proofErr w:type="spellStart"/>
            <w:r>
              <w:rPr>
                <w:rFonts w:ascii="Batang" w:eastAsia="Batang" w:hAnsi="Batang" w:cs="Batang" w:hint="eastAsia"/>
                <w:sz w:val="22"/>
                <w:lang w:eastAsia="ko-KR"/>
              </w:rPr>
              <w:t>재정부</w:t>
            </w:r>
            <w:proofErr w:type="spellEnd"/>
            <w:r>
              <w:rPr>
                <w:rFonts w:ascii="宋体" w:eastAsia="宋体" w:hAnsi="宋体" w:hint="eastAsia"/>
                <w:sz w:val="22"/>
                <w:lang w:eastAsia="ko-KR"/>
              </w:rPr>
              <w:t xml:space="preserve"> </w:t>
            </w:r>
          </w:p>
          <w:p w:rsidR="007668FA" w:rsidRDefault="007668FA" w:rsidP="007668FA">
            <w:pPr>
              <w:wordWrap w:val="0"/>
              <w:overflowPunct w:val="0"/>
              <w:topLinePunct/>
              <w:autoSpaceDN w:val="0"/>
              <w:adjustRightInd w:val="0"/>
              <w:snapToGrid w:val="0"/>
              <w:spacing w:line="320" w:lineRule="exact"/>
              <w:ind w:firstLine="420"/>
              <w:jc w:val="right"/>
              <w:rPr>
                <w:rFonts w:ascii="宋体" w:eastAsia="宋体" w:hAnsi="宋体" w:hint="eastAsia"/>
                <w:sz w:val="22"/>
                <w:lang w:eastAsia="ko-KR"/>
              </w:rPr>
            </w:pPr>
          </w:p>
          <w:p w:rsidR="007668FA" w:rsidRDefault="007668FA" w:rsidP="007668FA">
            <w:pPr>
              <w:wordWrap w:val="0"/>
              <w:overflowPunct w:val="0"/>
              <w:topLinePunct/>
              <w:autoSpaceDN w:val="0"/>
              <w:adjustRightInd w:val="0"/>
              <w:snapToGrid w:val="0"/>
              <w:spacing w:line="320" w:lineRule="exact"/>
              <w:ind w:firstLine="420"/>
              <w:jc w:val="right"/>
              <w:rPr>
                <w:rFonts w:ascii="Batang" w:eastAsia="Batang" w:hAnsi="Batang" w:cs="Batang" w:hint="eastAsia"/>
                <w:sz w:val="22"/>
                <w:lang w:eastAsia="ko-KR"/>
              </w:rPr>
            </w:pPr>
            <w:r>
              <w:rPr>
                <w:rFonts w:ascii="Batang" w:eastAsia="Batang" w:hAnsi="Batang" w:cs="Batang" w:hint="eastAsia"/>
                <w:sz w:val="22"/>
                <w:lang w:eastAsia="ko-KR"/>
              </w:rPr>
              <w:t>세무총국</w:t>
            </w:r>
          </w:p>
          <w:p w:rsidR="007668FA" w:rsidRDefault="007668FA" w:rsidP="007668FA">
            <w:pPr>
              <w:wordWrap w:val="0"/>
              <w:overflowPunct w:val="0"/>
              <w:topLinePunct/>
              <w:autoSpaceDN w:val="0"/>
              <w:adjustRightInd w:val="0"/>
              <w:snapToGrid w:val="0"/>
              <w:spacing w:line="320" w:lineRule="exact"/>
              <w:ind w:firstLine="420"/>
              <w:jc w:val="right"/>
              <w:rPr>
                <w:rFonts w:ascii="宋体" w:eastAsia="宋体" w:hAnsi="宋体" w:hint="eastAsia"/>
                <w:sz w:val="22"/>
                <w:lang w:eastAsia="ko-KR"/>
              </w:rPr>
            </w:pPr>
          </w:p>
          <w:p w:rsidR="007668FA" w:rsidRDefault="007668FA" w:rsidP="007668FA">
            <w:pPr>
              <w:wordWrap w:val="0"/>
              <w:overflowPunct w:val="0"/>
              <w:topLinePunct/>
              <w:autoSpaceDN w:val="0"/>
              <w:adjustRightInd w:val="0"/>
              <w:snapToGrid w:val="0"/>
              <w:spacing w:line="320" w:lineRule="exact"/>
              <w:jc w:val="right"/>
              <w:rPr>
                <w:rFonts w:ascii="Batang" w:eastAsia="Batang" w:hAnsi="Batang" w:hint="eastAsia"/>
                <w:sz w:val="22"/>
                <w:lang w:eastAsia="ko-KR"/>
              </w:rPr>
            </w:pPr>
            <w:r>
              <w:rPr>
                <w:rFonts w:ascii="Batang" w:eastAsia="Batang" w:hAnsi="Batang" w:hint="eastAsia"/>
                <w:sz w:val="22"/>
                <w:lang w:eastAsia="ko-KR"/>
              </w:rPr>
              <w:t>2021년 3월 31일</w:t>
            </w:r>
          </w:p>
          <w:p w:rsidR="00DB5008" w:rsidRPr="00B9689F"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7668FA" w:rsidRPr="007668FA" w:rsidRDefault="007668FA" w:rsidP="007668FA">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7668FA">
              <w:rPr>
                <w:rFonts w:ascii="Batang" w:eastAsia="Batang" w:hAnsi="Batang" w:cs="Batang" w:hint="eastAsia"/>
                <w:b/>
                <w:bCs/>
                <w:color w:val="333333"/>
                <w:sz w:val="22"/>
                <w:szCs w:val="22"/>
              </w:rPr>
              <w:t>关于进一步完善研发费用税前加计扣除</w:t>
            </w:r>
          </w:p>
          <w:p w:rsidR="007668FA" w:rsidRPr="007668FA" w:rsidRDefault="007668FA" w:rsidP="007668FA">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rPr>
            </w:pPr>
            <w:r w:rsidRPr="007668FA">
              <w:rPr>
                <w:rFonts w:ascii="Batang" w:eastAsia="Batang" w:hAnsi="Batang" w:cs="Batang" w:hint="eastAsia"/>
                <w:b/>
                <w:bCs/>
                <w:color w:val="333333"/>
                <w:sz w:val="22"/>
                <w:szCs w:val="22"/>
              </w:rPr>
              <w:t>政策的公告</w:t>
            </w:r>
          </w:p>
          <w:p w:rsidR="007668FA" w:rsidRDefault="007668FA" w:rsidP="007668FA">
            <w:pPr>
              <w:snapToGrid w:val="0"/>
              <w:spacing w:line="360" w:lineRule="auto"/>
              <w:jc w:val="center"/>
              <w:rPr>
                <w:rFonts w:ascii="宋体" w:eastAsia="宋体" w:hAnsi="宋体" w:hint="eastAsia"/>
              </w:rPr>
            </w:pPr>
            <w:r>
              <w:rPr>
                <w:rFonts w:ascii="宋体" w:eastAsia="宋体" w:hAnsi="宋体" w:hint="eastAsia"/>
              </w:rPr>
              <w:t>财政部、税务总局公告2021年第13号</w:t>
            </w:r>
          </w:p>
          <w:p w:rsidR="007668FA" w:rsidRDefault="007668FA" w:rsidP="007668FA">
            <w:pPr>
              <w:snapToGrid w:val="0"/>
              <w:spacing w:line="360" w:lineRule="auto"/>
              <w:rPr>
                <w:rFonts w:ascii="宋体" w:hAnsi="宋体" w:hint="eastAsia"/>
                <w:lang w:eastAsia="ko-KR"/>
              </w:rPr>
            </w:pPr>
          </w:p>
          <w:p w:rsidR="007668FA" w:rsidRPr="007668FA" w:rsidRDefault="007668FA" w:rsidP="007668FA">
            <w:pPr>
              <w:snapToGrid w:val="0"/>
              <w:spacing w:line="360" w:lineRule="auto"/>
              <w:rPr>
                <w:rFonts w:ascii="宋体" w:hAnsi="宋体" w:hint="eastAsia"/>
                <w:sz w:val="9"/>
                <w:lang w:eastAsia="ko-KR"/>
              </w:rPr>
            </w:pPr>
          </w:p>
          <w:p w:rsidR="007668FA" w:rsidRDefault="007668FA" w:rsidP="007668FA">
            <w:pPr>
              <w:snapToGrid w:val="0"/>
              <w:spacing w:line="360" w:lineRule="auto"/>
              <w:rPr>
                <w:rFonts w:ascii="宋体" w:hAnsi="宋体" w:hint="eastAsia"/>
                <w:lang w:eastAsia="ko-KR"/>
              </w:rPr>
            </w:pPr>
            <w:r>
              <w:rPr>
                <w:rFonts w:ascii="宋体" w:eastAsia="宋体" w:hAnsi="宋体" w:hint="eastAsia"/>
              </w:rPr>
              <w:t>为进一步激励企业加大研发投入，支持科技创新，现就企业研发费用税前加计扣除政策有关问题公告如下：</w:t>
            </w:r>
          </w:p>
          <w:p w:rsidR="007668FA" w:rsidRDefault="007668FA" w:rsidP="007668FA">
            <w:pPr>
              <w:snapToGrid w:val="0"/>
              <w:spacing w:line="360" w:lineRule="auto"/>
              <w:rPr>
                <w:rFonts w:ascii="宋体" w:hAnsi="宋体" w:hint="eastAsia"/>
                <w:lang w:eastAsia="ko-KR"/>
              </w:rPr>
            </w:pPr>
          </w:p>
          <w:p w:rsidR="007668FA" w:rsidRPr="007668FA" w:rsidRDefault="007668FA" w:rsidP="007668FA">
            <w:pPr>
              <w:snapToGrid w:val="0"/>
              <w:spacing w:line="360" w:lineRule="auto"/>
              <w:rPr>
                <w:rFonts w:ascii="宋体" w:hAnsi="宋体" w:hint="eastAsia"/>
                <w:sz w:val="15"/>
                <w:lang w:eastAsia="ko-KR"/>
              </w:rPr>
            </w:pPr>
          </w:p>
          <w:p w:rsidR="007668FA" w:rsidRDefault="007668FA" w:rsidP="007668FA">
            <w:pPr>
              <w:snapToGrid w:val="0"/>
              <w:spacing w:line="360" w:lineRule="auto"/>
              <w:rPr>
                <w:rFonts w:ascii="宋体" w:hAnsi="宋体" w:hint="eastAsia"/>
              </w:rPr>
            </w:pPr>
            <w:r>
              <w:rPr>
                <w:rFonts w:ascii="宋体" w:eastAsia="宋体" w:hAnsi="宋体" w:hint="eastAsia"/>
              </w:rPr>
              <w:t xml:space="preserve">　　一、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p w:rsidR="007668FA" w:rsidRPr="007668FA" w:rsidRDefault="007668FA" w:rsidP="007668FA">
            <w:pPr>
              <w:snapToGrid w:val="0"/>
              <w:spacing w:line="360" w:lineRule="auto"/>
              <w:rPr>
                <w:rFonts w:ascii="宋体" w:hAnsi="宋体" w:hint="eastAsia"/>
                <w:sz w:val="17"/>
              </w:rPr>
            </w:pPr>
          </w:p>
          <w:p w:rsidR="007668FA" w:rsidRDefault="007668FA" w:rsidP="007668FA">
            <w:pPr>
              <w:snapToGrid w:val="0"/>
              <w:spacing w:line="360" w:lineRule="auto"/>
              <w:rPr>
                <w:rFonts w:ascii="宋体" w:eastAsia="宋体" w:hAnsi="宋体" w:hint="eastAsia"/>
              </w:rPr>
            </w:pPr>
            <w:r>
              <w:rPr>
                <w:rFonts w:ascii="宋体" w:eastAsia="宋体" w:hAnsi="宋体" w:hint="eastAsia"/>
              </w:rPr>
              <w:t xml:space="preserve">　　本条所称制造业企业，是指以制造业业务为主营业务，享受优惠当年主营业务收入占收入总额的比例达到50%以上的企业。制造业的范围按照《国民经济行业分类》（GB/T 4574-2017）确定，如国家有关部门更新《国民经济行业分类》，从其规定。收入总额按照企业所得税法第六条规定执行。</w:t>
            </w:r>
          </w:p>
          <w:p w:rsidR="007668FA" w:rsidRDefault="007668FA" w:rsidP="007668FA">
            <w:pPr>
              <w:snapToGrid w:val="0"/>
              <w:spacing w:line="360" w:lineRule="auto"/>
              <w:ind w:firstLine="420"/>
              <w:rPr>
                <w:rFonts w:ascii="宋体" w:hAnsi="宋体" w:hint="eastAsia"/>
                <w:w w:val="90"/>
              </w:rPr>
            </w:pPr>
            <w:r w:rsidRPr="007668FA">
              <w:rPr>
                <w:rFonts w:ascii="宋体" w:eastAsia="宋体" w:hAnsi="宋体" w:hint="eastAsia"/>
                <w:w w:val="90"/>
              </w:rPr>
              <w:t>二、企业预缴申报当年第3季度（按季预缴）或9月份（按月预缴）企业所得税时，可以自行选择就当年上半年研发费用享受加计扣除优惠政策，采取“自行判别、申报享受、相关资料留存备查”办理方式。</w:t>
            </w:r>
          </w:p>
          <w:p w:rsidR="007668FA" w:rsidRPr="007668FA" w:rsidRDefault="007668FA" w:rsidP="007668FA">
            <w:pPr>
              <w:snapToGrid w:val="0"/>
              <w:spacing w:line="360" w:lineRule="auto"/>
              <w:ind w:firstLine="420"/>
              <w:rPr>
                <w:rFonts w:ascii="宋体" w:hAnsi="宋体" w:hint="eastAsia"/>
                <w:w w:val="90"/>
                <w:sz w:val="9"/>
              </w:rPr>
            </w:pPr>
          </w:p>
          <w:p w:rsidR="007668FA" w:rsidRDefault="007668FA" w:rsidP="007668FA">
            <w:pPr>
              <w:snapToGrid w:val="0"/>
              <w:spacing w:line="360" w:lineRule="auto"/>
              <w:ind w:firstLine="435"/>
              <w:rPr>
                <w:rFonts w:ascii="宋体" w:hAnsi="宋体" w:hint="eastAsia"/>
                <w:w w:val="90"/>
                <w:lang w:eastAsia="ko-KR"/>
              </w:rPr>
            </w:pPr>
            <w:r w:rsidRPr="007668FA">
              <w:rPr>
                <w:rFonts w:ascii="宋体" w:eastAsia="宋体" w:hAnsi="宋体" w:hint="eastAsia"/>
                <w:w w:val="90"/>
              </w:rPr>
              <w:t>符合条件的企业可以自行计算加计扣除金额，填报《中华人民共和国企业所得税月</w:t>
            </w:r>
            <w:r w:rsidRPr="007668FA">
              <w:rPr>
                <w:rFonts w:ascii="宋体" w:eastAsia="宋体" w:hAnsi="宋体" w:hint="eastAsia"/>
                <w:w w:val="90"/>
              </w:rPr>
              <w:lastRenderedPageBreak/>
              <w:t>（季）度预缴纳税申报表（A类）》享受税收优惠，并根据享受加计扣除优惠的研发费用情况（上半年）填写《研发费用加计扣除优惠明细表》（A107012）。《研发费用加计扣除优惠明细表》（A107012）与相关政策规定的其他资料一并留存备查。</w:t>
            </w:r>
          </w:p>
          <w:p w:rsidR="007668FA" w:rsidRPr="007668FA" w:rsidRDefault="007668FA" w:rsidP="007668FA">
            <w:pPr>
              <w:snapToGrid w:val="0"/>
              <w:spacing w:line="360" w:lineRule="auto"/>
              <w:ind w:firstLine="435"/>
              <w:rPr>
                <w:rFonts w:ascii="宋体" w:hAnsi="宋体" w:hint="eastAsia"/>
                <w:w w:val="90"/>
                <w:sz w:val="11"/>
                <w:lang w:eastAsia="ko-KR"/>
              </w:rPr>
            </w:pPr>
          </w:p>
          <w:p w:rsidR="007668FA" w:rsidRDefault="007668FA" w:rsidP="007668FA">
            <w:pPr>
              <w:snapToGrid w:val="0"/>
              <w:spacing w:line="360" w:lineRule="auto"/>
              <w:ind w:firstLine="420"/>
              <w:rPr>
                <w:rFonts w:ascii="宋体" w:hAnsi="宋体" w:hint="eastAsia"/>
              </w:rPr>
            </w:pPr>
            <w:r>
              <w:rPr>
                <w:rFonts w:ascii="宋体" w:eastAsia="宋体" w:hAnsi="宋体" w:hint="eastAsia"/>
              </w:rPr>
              <w:t>企业办理第3季度或9月份预缴申报时，未选择享受研发费用加计扣除优惠政策的，可在次年办理汇算清缴时统一享受。</w:t>
            </w:r>
          </w:p>
          <w:p w:rsidR="007668FA" w:rsidRPr="007668FA" w:rsidRDefault="007668FA" w:rsidP="007668FA">
            <w:pPr>
              <w:snapToGrid w:val="0"/>
              <w:spacing w:line="360" w:lineRule="auto"/>
              <w:ind w:firstLine="420"/>
              <w:rPr>
                <w:rFonts w:ascii="宋体" w:hAnsi="宋体" w:hint="eastAsia"/>
                <w:sz w:val="9"/>
              </w:rPr>
            </w:pPr>
          </w:p>
          <w:p w:rsidR="007668FA" w:rsidRDefault="007668FA" w:rsidP="007668FA">
            <w:pPr>
              <w:snapToGrid w:val="0"/>
              <w:spacing w:line="360" w:lineRule="auto"/>
              <w:rPr>
                <w:rFonts w:ascii="宋体" w:eastAsia="宋体" w:hAnsi="宋体" w:hint="eastAsia"/>
              </w:rPr>
            </w:pPr>
            <w:r>
              <w:rPr>
                <w:rFonts w:ascii="宋体" w:eastAsia="宋体" w:hAnsi="宋体" w:hint="eastAsia"/>
              </w:rPr>
              <w:t xml:space="preserve">　　三、</w:t>
            </w:r>
            <w:r w:rsidRPr="007668FA">
              <w:rPr>
                <w:rFonts w:ascii="宋体" w:eastAsia="宋体" w:hAnsi="宋体" w:hint="eastAsia"/>
                <w:w w:val="90"/>
              </w:rPr>
              <w:t xml:space="preserve">企业享受研发费用加计扣除政策的其他政策口径和管理要求，按照《财政部 国家税务总局 科技部关于完善研究开发费用税前加计扣除政策的通知》（财税〔2015〕119号）、《财政部 </w:t>
            </w:r>
            <w:bookmarkStart w:id="0" w:name="_GoBack"/>
            <w:bookmarkEnd w:id="0"/>
            <w:r w:rsidRPr="007668FA">
              <w:rPr>
                <w:rFonts w:ascii="宋体" w:eastAsia="宋体" w:hAnsi="宋体" w:hint="eastAsia"/>
                <w:w w:val="90"/>
              </w:rPr>
              <w:t>税务总局 科技部关于企业委托境外研究开发费用税前加计扣除有关政策问题的通知》（财税〔2018〕64号）等文件相关规定执行。</w:t>
            </w:r>
          </w:p>
          <w:p w:rsidR="007668FA" w:rsidRDefault="007668FA" w:rsidP="007668FA">
            <w:pPr>
              <w:snapToGrid w:val="0"/>
              <w:spacing w:line="360" w:lineRule="auto"/>
              <w:ind w:firstLine="420"/>
              <w:rPr>
                <w:rFonts w:ascii="宋体" w:eastAsia="宋体" w:hAnsi="宋体" w:hint="eastAsia"/>
              </w:rPr>
            </w:pPr>
            <w:r>
              <w:rPr>
                <w:rFonts w:ascii="宋体" w:eastAsia="宋体" w:hAnsi="宋体" w:hint="eastAsia"/>
              </w:rPr>
              <w:t>四、本公告自2021年1月1日起执行。</w:t>
            </w:r>
          </w:p>
          <w:p w:rsidR="007668FA" w:rsidRDefault="007668FA" w:rsidP="007668FA">
            <w:pPr>
              <w:snapToGrid w:val="0"/>
              <w:spacing w:line="360" w:lineRule="auto"/>
              <w:ind w:firstLine="420"/>
              <w:rPr>
                <w:rFonts w:ascii="宋体" w:eastAsia="宋体" w:hAnsi="宋体" w:hint="eastAsia"/>
              </w:rPr>
            </w:pPr>
            <w:r>
              <w:rPr>
                <w:rFonts w:ascii="宋体" w:eastAsia="宋体" w:hAnsi="宋体" w:hint="eastAsia"/>
              </w:rPr>
              <w:t>特此公告。</w:t>
            </w:r>
          </w:p>
          <w:p w:rsidR="007668FA" w:rsidRDefault="007668FA" w:rsidP="007668FA">
            <w:pPr>
              <w:snapToGrid w:val="0"/>
              <w:spacing w:line="360" w:lineRule="auto"/>
              <w:ind w:firstLine="420"/>
              <w:jc w:val="right"/>
              <w:rPr>
                <w:rFonts w:ascii="宋体" w:hAnsi="宋体" w:hint="eastAsia"/>
                <w:lang w:eastAsia="ko-KR"/>
              </w:rPr>
            </w:pPr>
            <w:r>
              <w:rPr>
                <w:rFonts w:ascii="宋体" w:eastAsia="宋体" w:hAnsi="宋体" w:hint="eastAsia"/>
              </w:rPr>
              <w:t xml:space="preserve">财 政 部　 </w:t>
            </w:r>
          </w:p>
          <w:p w:rsidR="007668FA" w:rsidRPr="007668FA" w:rsidRDefault="007668FA" w:rsidP="007668FA">
            <w:pPr>
              <w:snapToGrid w:val="0"/>
              <w:spacing w:line="360" w:lineRule="auto"/>
              <w:ind w:firstLine="420"/>
              <w:jc w:val="right"/>
              <w:rPr>
                <w:rFonts w:ascii="宋体" w:hAnsi="宋体" w:hint="eastAsia"/>
                <w:sz w:val="15"/>
                <w:lang w:eastAsia="ko-KR"/>
              </w:rPr>
            </w:pPr>
          </w:p>
          <w:p w:rsidR="007668FA" w:rsidRDefault="007668FA" w:rsidP="007668FA">
            <w:pPr>
              <w:snapToGrid w:val="0"/>
              <w:spacing w:line="360" w:lineRule="auto"/>
              <w:ind w:firstLine="420"/>
              <w:jc w:val="right"/>
              <w:rPr>
                <w:rFonts w:ascii="宋体" w:hAnsi="宋体" w:hint="eastAsia"/>
                <w:lang w:eastAsia="ko-KR"/>
              </w:rPr>
            </w:pPr>
            <w:r>
              <w:rPr>
                <w:rFonts w:ascii="宋体" w:eastAsia="宋体" w:hAnsi="宋体" w:hint="eastAsia"/>
              </w:rPr>
              <w:t>税 务 总 局</w:t>
            </w:r>
          </w:p>
          <w:p w:rsidR="007668FA" w:rsidRPr="007668FA" w:rsidRDefault="007668FA" w:rsidP="007668FA">
            <w:pPr>
              <w:snapToGrid w:val="0"/>
              <w:spacing w:line="360" w:lineRule="auto"/>
              <w:ind w:firstLine="420"/>
              <w:jc w:val="right"/>
              <w:rPr>
                <w:rFonts w:ascii="宋体" w:hAnsi="宋体" w:hint="eastAsia"/>
                <w:sz w:val="13"/>
                <w:lang w:eastAsia="ko-KR"/>
              </w:rPr>
            </w:pPr>
          </w:p>
          <w:p w:rsidR="007668FA" w:rsidRDefault="007668FA" w:rsidP="007668FA">
            <w:pPr>
              <w:snapToGrid w:val="0"/>
              <w:spacing w:line="360" w:lineRule="auto"/>
              <w:jc w:val="right"/>
              <w:rPr>
                <w:rFonts w:ascii="宋体" w:eastAsia="宋体" w:hAnsi="宋体" w:hint="eastAsia"/>
              </w:rPr>
            </w:pPr>
            <w:r>
              <w:rPr>
                <w:rFonts w:ascii="宋体" w:eastAsia="宋体" w:hAnsi="宋体" w:hint="eastAsia"/>
              </w:rPr>
              <w:t xml:space="preserve">　　2021年3月31日</w:t>
            </w:r>
          </w:p>
          <w:p w:rsidR="00DB5008" w:rsidRPr="00B9689F"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00" w:rsidRDefault="00E10F00" w:rsidP="00C278F4">
      <w:r>
        <w:separator/>
      </w:r>
    </w:p>
  </w:endnote>
  <w:endnote w:type="continuationSeparator" w:id="0">
    <w:p w:rsidR="00E10F00" w:rsidRDefault="00E10F0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00" w:rsidRDefault="00E10F00" w:rsidP="00C278F4">
      <w:r>
        <w:separator/>
      </w:r>
    </w:p>
  </w:footnote>
  <w:footnote w:type="continuationSeparator" w:id="0">
    <w:p w:rsidR="00E10F00" w:rsidRDefault="00E10F0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0692F"/>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44FE4"/>
    <w:rsid w:val="00450E11"/>
    <w:rsid w:val="0046557A"/>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C7B00"/>
    <w:rsid w:val="006E2B22"/>
    <w:rsid w:val="006F037F"/>
    <w:rsid w:val="006F4C24"/>
    <w:rsid w:val="0070285D"/>
    <w:rsid w:val="00712549"/>
    <w:rsid w:val="00725B68"/>
    <w:rsid w:val="007428D2"/>
    <w:rsid w:val="00754EB6"/>
    <w:rsid w:val="007559F0"/>
    <w:rsid w:val="00763D92"/>
    <w:rsid w:val="00765D53"/>
    <w:rsid w:val="007668FA"/>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10F00"/>
    <w:rsid w:val="00E46AEF"/>
    <w:rsid w:val="00E55823"/>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1">
      <w:bodyDiv w:val="1"/>
      <w:marLeft w:val="0"/>
      <w:marRight w:val="0"/>
      <w:marTop w:val="0"/>
      <w:marBottom w:val="0"/>
      <w:divBdr>
        <w:top w:val="none" w:sz="0" w:space="0" w:color="auto"/>
        <w:left w:val="none" w:sz="0" w:space="0" w:color="auto"/>
        <w:bottom w:val="none" w:sz="0" w:space="0" w:color="auto"/>
        <w:right w:val="none" w:sz="0" w:space="0" w:color="auto"/>
      </w:divBdr>
    </w:div>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294144638">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92706325">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 w:id="2037123272">
      <w:bodyDiv w:val="1"/>
      <w:marLeft w:val="0"/>
      <w:marRight w:val="0"/>
      <w:marTop w:val="0"/>
      <w:marBottom w:val="0"/>
      <w:divBdr>
        <w:top w:val="none" w:sz="0" w:space="0" w:color="auto"/>
        <w:left w:val="none" w:sz="0" w:space="0" w:color="auto"/>
        <w:bottom w:val="none" w:sz="0" w:space="0" w:color="auto"/>
        <w:right w:val="none" w:sz="0" w:space="0" w:color="auto"/>
      </w:divBdr>
    </w:div>
    <w:div w:id="20518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4D306-06CF-435F-9C42-36B2C6B0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Pages>
  <Words>331</Words>
  <Characters>1888</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80</cp:revision>
  <dcterms:created xsi:type="dcterms:W3CDTF">2016-01-15T03:23:00Z</dcterms:created>
  <dcterms:modified xsi:type="dcterms:W3CDTF">2021-04-09T02:14:00Z</dcterms:modified>
</cp:coreProperties>
</file>