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6C2702" w:rsidRPr="006C2702" w:rsidRDefault="006C2702" w:rsidP="006C2702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pacing w:val="-6"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6C2702">
              <w:rPr>
                <w:rFonts w:ascii="한컴바탕" w:eastAsia="한컴바탕" w:hAnsi="한컴바탕" w:cs="한컴바탕" w:hint="eastAsia"/>
                <w:b/>
                <w:spacing w:val="-6"/>
                <w:sz w:val="26"/>
                <w:szCs w:val="26"/>
                <w:lang w:eastAsia="ko-KR"/>
              </w:rPr>
              <w:t>국무원관세세칙위원회의</w:t>
            </w:r>
            <w:r>
              <w:rPr>
                <w:rFonts w:ascii="한컴바탕" w:eastAsia="한컴바탕" w:hAnsi="한컴바탕" w:cs="한컴바탕" w:hint="eastAsia"/>
                <w:b/>
                <w:spacing w:val="-6"/>
                <w:sz w:val="26"/>
                <w:szCs w:val="26"/>
                <w:lang w:eastAsia="ko-KR"/>
              </w:rPr>
              <w:t xml:space="preserve"> </w:t>
            </w:r>
            <w:r w:rsidRPr="006C2702">
              <w:rPr>
                <w:rFonts w:ascii="한컴바탕" w:eastAsia="한컴바탕" w:hAnsi="한컴바탕" w:cs="한컴바탕" w:hint="eastAsia"/>
                <w:b/>
                <w:spacing w:val="-6"/>
                <w:sz w:val="26"/>
                <w:szCs w:val="26"/>
                <w:lang w:eastAsia="ko-KR"/>
              </w:rPr>
              <w:t>2019년 수출입잠정세율 등 조정방안에 관한 통지</w:t>
            </w:r>
          </w:p>
          <w:p w:rsidR="006C2702" w:rsidRPr="006C2702" w:rsidRDefault="006C2702" w:rsidP="006C2702">
            <w:pPr>
              <w:wordWrap w:val="0"/>
              <w:topLinePunct/>
              <w:spacing w:line="360" w:lineRule="auto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세위회</w:t>
            </w:r>
            <w:proofErr w:type="spellEnd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[2018]65호</w:t>
            </w:r>
          </w:p>
          <w:p w:rsidR="006C2702" w:rsidRDefault="006C2702" w:rsidP="006E4A2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E4A2D" w:rsidRPr="006E4A2D" w:rsidRDefault="006E4A2D" w:rsidP="006E4A2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gramStart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 :</w:t>
            </w:r>
            <w:proofErr w:type="gramEnd"/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경제의 질적 발전과 수출입 무역의 안정적 성장을 촉진시키기 위한 목적으로 &lt;중화인민공화국 수출입관세조례&gt;의 관련 규정에 근거하여 2019년 1월 1일부터 일부 품목에 대한 수출입관세 조정을 실시한다. &lt;2019녀 수출입잠정세율 등 조정방안&gt;을 귀 서(署)에 발송하오니 상세한 내용은 첨부를 참고하기 바란다.</w:t>
            </w:r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gramStart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 :</w:t>
            </w:r>
            <w:proofErr w:type="gramEnd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2019년 수출입잠정세율 등 조정방안</w:t>
            </w:r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국무원관세세칙위원회</w:t>
            </w:r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2018년 12월 22일</w:t>
            </w:r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gramStart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 :</w:t>
            </w:r>
            <w:proofErr w:type="gramEnd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b/>
                <w:spacing w:val="-6"/>
                <w:sz w:val="26"/>
                <w:szCs w:val="26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b/>
                <w:spacing w:val="-6"/>
                <w:sz w:val="26"/>
                <w:szCs w:val="26"/>
                <w:lang w:eastAsia="ko-KR"/>
              </w:rPr>
              <w:t>2019년 수출입잠정세율 등 조정방안</w:t>
            </w:r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C2702" w:rsidRPr="006C2702" w:rsidRDefault="006C2702" w:rsidP="006C2702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C2702" w:rsidRPr="006C2702" w:rsidRDefault="006C2702" w:rsidP="00182372">
            <w:pPr>
              <w:pStyle w:val="a4"/>
              <w:numPr>
                <w:ilvl w:val="0"/>
                <w:numId w:val="19"/>
              </w:numPr>
              <w:wordWrap w:val="0"/>
              <w:topLinePunct/>
              <w:snapToGrid w:val="0"/>
              <w:spacing w:line="312" w:lineRule="auto"/>
              <w:ind w:firstLineChars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수입관세세율 조정</w:t>
            </w:r>
          </w:p>
          <w:p w:rsidR="006C2702" w:rsidRPr="006C2702" w:rsidRDefault="006C2702" w:rsidP="00182372">
            <w:pPr>
              <w:pStyle w:val="a4"/>
              <w:numPr>
                <w:ilvl w:val="0"/>
                <w:numId w:val="20"/>
              </w:numPr>
              <w:wordWrap w:val="0"/>
              <w:topLinePunct/>
              <w:snapToGrid w:val="0"/>
              <w:spacing w:line="312" w:lineRule="auto"/>
              <w:ind w:firstLineChars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최혜국세율</w:t>
            </w:r>
          </w:p>
          <w:p w:rsidR="006C2702" w:rsidRPr="006C2702" w:rsidRDefault="006C2702" w:rsidP="00182372">
            <w:pPr>
              <w:pStyle w:val="a4"/>
              <w:numPr>
                <w:ilvl w:val="0"/>
                <w:numId w:val="21"/>
              </w:numPr>
              <w:wordWrap w:val="0"/>
              <w:topLinePunct/>
              <w:snapToGrid w:val="0"/>
              <w:spacing w:line="312" w:lineRule="auto"/>
              <w:ind w:firstLineChars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2019년 1월 1일부터 706개 품목에 대하여 수입잠정세율을 실시한다. 2019년 7월 1일부터 14개 정보기술제품 품목의 수입잠정세율을 취소하고 1개 품목의 수입잠정세율 적용범위를 축소한다(별표1 참조).</w:t>
            </w:r>
          </w:p>
          <w:p w:rsidR="006C2702" w:rsidRPr="006C2702" w:rsidRDefault="006C2702" w:rsidP="00182372">
            <w:pPr>
              <w:pStyle w:val="a4"/>
              <w:numPr>
                <w:ilvl w:val="0"/>
                <w:numId w:val="21"/>
              </w:numPr>
              <w:wordWrap w:val="0"/>
              <w:topLinePunct/>
              <w:snapToGrid w:val="0"/>
              <w:spacing w:line="312" w:lineRule="auto"/>
              <w:ind w:firstLineChars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&lt;중화인민공화국의 세계무역기구 </w:t>
            </w: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 xml:space="preserve">가입에 따른 </w:t>
            </w:r>
            <w:proofErr w:type="spellStart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관세양허표</w:t>
            </w:r>
            <w:proofErr w:type="spellEnd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수정안&gt;의 별표에 열거된 정보기술제품의 최혜국세율은 2019년 7월 1일부터 제4차 세율 인하를 실시한다(별표2 참고).</w:t>
            </w:r>
          </w:p>
          <w:p w:rsidR="006C2702" w:rsidRPr="006C2702" w:rsidRDefault="006C2702" w:rsidP="00182372">
            <w:pPr>
              <w:pStyle w:val="a4"/>
              <w:numPr>
                <w:ilvl w:val="0"/>
                <w:numId w:val="20"/>
              </w:numPr>
              <w:wordWrap w:val="0"/>
              <w:topLinePunct/>
              <w:snapToGrid w:val="0"/>
              <w:spacing w:line="312" w:lineRule="auto"/>
              <w:ind w:firstLineChars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관세할당세율</w:t>
            </w:r>
          </w:p>
          <w:p w:rsidR="006C2702" w:rsidRPr="006C2702" w:rsidRDefault="006C2702" w:rsidP="00182372">
            <w:pPr>
              <w:pStyle w:val="a4"/>
              <w:wordWrap w:val="0"/>
              <w:topLinePunct/>
              <w:snapToGrid w:val="0"/>
              <w:spacing w:line="312" w:lineRule="auto"/>
              <w:ind w:left="844" w:firstLineChars="0" w:firstLine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밀 등 8가지 품목에 대해서는 계속적으로 관세할당관리를 실시하며 세율은 조정하지 아니한다. </w:t>
            </w:r>
            <w:proofErr w:type="spellStart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그중</w:t>
            </w:r>
            <w:proofErr w:type="spellEnd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요소·복합비료·인산수소암모늄 3종 화학비료의 </w:t>
            </w:r>
            <w:proofErr w:type="spellStart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할당내</w:t>
            </w:r>
            <w:proofErr w:type="spellEnd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세율은 계속적으로 1%의 수입잠정세율을 실시한다. </w:t>
            </w:r>
            <w:proofErr w:type="spellStart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할당외</w:t>
            </w:r>
            <w:proofErr w:type="spellEnd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수입하는 일정 수량의 면화에 대해서는 계속적으로 슬라이딩 관세를 실시하며 적당히 조정한다(별표 3 참고).</w:t>
            </w:r>
          </w:p>
          <w:p w:rsidR="006C2702" w:rsidRPr="006C2702" w:rsidRDefault="006C2702" w:rsidP="00182372">
            <w:pPr>
              <w:pStyle w:val="a4"/>
              <w:numPr>
                <w:ilvl w:val="0"/>
                <w:numId w:val="20"/>
              </w:numPr>
              <w:wordWrap w:val="0"/>
              <w:topLinePunct/>
              <w:snapToGrid w:val="0"/>
              <w:spacing w:line="312" w:lineRule="auto"/>
              <w:ind w:firstLineChars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협정세율</w:t>
            </w:r>
          </w:p>
          <w:p w:rsidR="006C2702" w:rsidRPr="006C2702" w:rsidRDefault="006C2702" w:rsidP="00182372">
            <w:pPr>
              <w:pStyle w:val="a4"/>
              <w:numPr>
                <w:ilvl w:val="0"/>
                <w:numId w:val="22"/>
              </w:numPr>
              <w:wordWrap w:val="0"/>
              <w:topLinePunct/>
              <w:snapToGrid w:val="0"/>
              <w:spacing w:line="312" w:lineRule="auto"/>
              <w:ind w:firstLineChars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중국이 관련 국가·지역과 체결한 무역협정 또는 관세우대협정에 근거하여 이미 국무원의 승인을 득한 협정세율 인하 방안을 계속적으로 실시하고 2019년 1월 1일부터 중국과 뉴질랜드·페루·코스타리카·스위스·아이슬란드·한국·오스트레일리아·그루지야 및 아시아-태평양 무역협정 가입국 간의 협정세율을 진일보 인하한다. 내륙지역과 </w:t>
            </w:r>
            <w:r w:rsidRPr="006C270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홍콩∙마카오</w:t>
            </w: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간의 &lt;</w:t>
            </w:r>
            <w:r w:rsidRPr="006C270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더욱 긴밀한 경제무역안배</w:t>
            </w: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&gt; 화물무역협의</w:t>
            </w:r>
            <w:r w:rsidRPr="006C270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</w:t>
            </w: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이하 &lt;협의&gt;로 약칭</w:t>
            </w:r>
            <w:r w:rsidRPr="006C270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에 근거하여 &lt;협의&gt; 실시일로부터 관련 국제협정상 내륙지역이 특수한 약속을 한 품목을 제외하고 원산지가 홍콩·마카오인 제품에 대하여 전면적으로 0관세를 실시한다(별표5 참고)</w:t>
            </w:r>
            <w:r w:rsidRPr="006C270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6C2702" w:rsidRPr="006C2702" w:rsidRDefault="006C2702" w:rsidP="00182372">
            <w:pPr>
              <w:pStyle w:val="a4"/>
              <w:numPr>
                <w:ilvl w:val="0"/>
                <w:numId w:val="22"/>
              </w:numPr>
              <w:wordWrap w:val="0"/>
              <w:topLinePunct/>
              <w:snapToGrid w:val="0"/>
              <w:spacing w:line="312" w:lineRule="auto"/>
              <w:ind w:firstLineChars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최혜국세율이 협정세율과 일치하거나 협정세율보다 낮은 경우 관련 협정의 규정에 따라 집행한다.</w:t>
            </w:r>
          </w:p>
          <w:p w:rsidR="006C2702" w:rsidRPr="006C2702" w:rsidRDefault="006C2702" w:rsidP="00182372">
            <w:pPr>
              <w:pStyle w:val="a4"/>
              <w:numPr>
                <w:ilvl w:val="0"/>
                <w:numId w:val="20"/>
              </w:numPr>
              <w:wordWrap w:val="0"/>
              <w:topLinePunct/>
              <w:snapToGrid w:val="0"/>
              <w:spacing w:line="312" w:lineRule="auto"/>
              <w:ind w:firstLineChars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>특혜세율</w:t>
            </w:r>
          </w:p>
          <w:p w:rsidR="006C2702" w:rsidRPr="006C2702" w:rsidRDefault="006C2702" w:rsidP="00182372">
            <w:pPr>
              <w:pStyle w:val="a4"/>
              <w:wordWrap w:val="0"/>
              <w:topLinePunct/>
              <w:snapToGrid w:val="0"/>
              <w:spacing w:line="312" w:lineRule="auto"/>
              <w:ind w:left="844" w:firstLineChars="0" w:firstLine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아시아-태평양 무역협정의 규정에 근거하여 아시아-태평양 무역협정상의 특혜세율을 진일보 인하한다(별표5 참조).</w:t>
            </w:r>
          </w:p>
          <w:p w:rsidR="006C2702" w:rsidRPr="006C2702" w:rsidRDefault="006C2702" w:rsidP="00182372">
            <w:pPr>
              <w:pStyle w:val="a4"/>
              <w:wordWrap w:val="0"/>
              <w:topLinePunct/>
              <w:snapToGrid w:val="0"/>
              <w:spacing w:line="312" w:lineRule="auto"/>
              <w:ind w:firstLineChars="0" w:firstLine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C2702" w:rsidRPr="006C2702" w:rsidRDefault="006C2702" w:rsidP="00182372">
            <w:pPr>
              <w:pStyle w:val="a4"/>
              <w:numPr>
                <w:ilvl w:val="0"/>
                <w:numId w:val="19"/>
              </w:numPr>
              <w:wordWrap w:val="0"/>
              <w:topLinePunct/>
              <w:snapToGrid w:val="0"/>
              <w:spacing w:line="312" w:lineRule="auto"/>
              <w:ind w:firstLineChars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수출관세세율</w:t>
            </w:r>
          </w:p>
          <w:p w:rsidR="006C2702" w:rsidRPr="006C2702" w:rsidRDefault="006C2702" w:rsidP="00182372">
            <w:pPr>
              <w:pStyle w:val="a4"/>
              <w:wordWrap w:val="0"/>
              <w:topLinePunct/>
              <w:snapToGrid w:val="0"/>
              <w:spacing w:line="312" w:lineRule="auto"/>
              <w:ind w:left="420" w:firstLineChars="0" w:firstLine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2019년 1월 1일부터 </w:t>
            </w:r>
            <w:proofErr w:type="spellStart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크롬철</w:t>
            </w:r>
            <w:proofErr w:type="spellEnd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등 108개 수출품목에 대하여 계속적으로 수출관세를 징수하거나 수출잠정세율을 시행하되 세율은 조정하지 아니하고 94개 품목의 수출잠정세율을 취소한다(별표 4 참고).</w:t>
            </w:r>
          </w:p>
          <w:p w:rsidR="006C2702" w:rsidRPr="006C2702" w:rsidRDefault="006C2702" w:rsidP="00182372">
            <w:pPr>
              <w:pStyle w:val="a4"/>
              <w:wordWrap w:val="0"/>
              <w:topLinePunct/>
              <w:snapToGrid w:val="0"/>
              <w:spacing w:line="312" w:lineRule="auto"/>
              <w:ind w:firstLineChars="0" w:firstLine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C2702" w:rsidRPr="006C2702" w:rsidRDefault="006C2702" w:rsidP="00182372">
            <w:pPr>
              <w:pStyle w:val="a4"/>
              <w:wordWrap w:val="0"/>
              <w:topLinePunct/>
              <w:snapToGrid w:val="0"/>
              <w:spacing w:line="312" w:lineRule="auto"/>
              <w:ind w:firstLineChars="0" w:firstLine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상기 방안은 별도의 규정이 있는 사항을 제외하고 2019년 1월 1일부터 실시한다.</w:t>
            </w:r>
          </w:p>
          <w:p w:rsidR="006C2702" w:rsidRPr="006C2702" w:rsidRDefault="006C2702" w:rsidP="00182372">
            <w:pPr>
              <w:pStyle w:val="a4"/>
              <w:wordWrap w:val="0"/>
              <w:topLinePunct/>
              <w:snapToGrid w:val="0"/>
              <w:spacing w:line="312" w:lineRule="auto"/>
              <w:ind w:firstLineChars="0" w:firstLine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C2702" w:rsidRPr="006C2702" w:rsidRDefault="006C2702" w:rsidP="00182372">
            <w:pPr>
              <w:pStyle w:val="a4"/>
              <w:wordWrap w:val="0"/>
              <w:topLinePunct/>
              <w:snapToGrid w:val="0"/>
              <w:spacing w:line="312" w:lineRule="auto"/>
              <w:ind w:firstLineChars="0" w:firstLine="0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별표 (다운로드</w:t>
            </w:r>
            <w:proofErr w:type="gramStart"/>
            <w:r w:rsidRPr="006C2702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) :</w:t>
            </w:r>
            <w:proofErr w:type="gramEnd"/>
          </w:p>
          <w:p w:rsidR="00DB5008" w:rsidRPr="006E4A2D" w:rsidRDefault="006C2702" w:rsidP="00182372">
            <w:pPr>
              <w:wordWrap w:val="0"/>
              <w:autoSpaceDN w:val="0"/>
              <w:snapToGrid w:val="0"/>
              <w:spacing w:line="312" w:lineRule="auto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hyperlink r:id="rId8" w:history="1">
              <w:r w:rsidRPr="006C2702">
                <w:rPr>
                  <w:rFonts w:ascii="한컴바탕" w:eastAsia="한컴바탕" w:hAnsi="한컴바탕" w:cs="한컴바탕" w:hint="eastAsia"/>
                  <w:spacing w:val="-6"/>
                </w:rPr>
                <w:t>별표1 : 수입상품 잠정세율표</w:t>
              </w:r>
              <w:r w:rsidRPr="006C2702">
                <w:rPr>
                  <w:rFonts w:ascii="한컴바탕" w:eastAsia="한컴바탕" w:hAnsi="한컴바탕" w:cs="한컴바탕"/>
                  <w:spacing w:val="-6"/>
                </w:rPr>
                <w:t>.pdf</w:t>
              </w:r>
            </w:hyperlink>
            <w:r w:rsidRPr="006C270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br/>
            </w:r>
            <w:hyperlink r:id="rId9" w:history="1">
              <w:r w:rsidRPr="006C2702">
                <w:rPr>
                  <w:rFonts w:ascii="한컴바탕" w:eastAsia="한컴바탕" w:hAnsi="한컴바탕" w:cs="한컴바탕" w:hint="eastAsia"/>
                  <w:spacing w:val="-6"/>
                </w:rPr>
                <w:t>별표2 : 일부 정보기술제품 최혜국세율표</w:t>
              </w:r>
              <w:r w:rsidRPr="006C2702">
                <w:rPr>
                  <w:rFonts w:ascii="한컴바탕" w:eastAsia="한컴바탕" w:hAnsi="한컴바탕" w:cs="한컴바탕"/>
                  <w:spacing w:val="-6"/>
                </w:rPr>
                <w:t>.pdf</w:t>
              </w:r>
            </w:hyperlink>
            <w:r w:rsidRPr="006C270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br/>
            </w:r>
            <w:hyperlink r:id="rId10" w:history="1">
              <w:r w:rsidRPr="006C2702">
                <w:rPr>
                  <w:rFonts w:ascii="한컴바탕" w:eastAsia="한컴바탕" w:hAnsi="한컴바탕" w:cs="한컴바탕" w:hint="eastAsia"/>
                  <w:spacing w:val="-6"/>
                </w:rPr>
                <w:t>별표3 : 관세할당상품 세목세율표</w:t>
              </w:r>
              <w:r w:rsidRPr="006C2702">
                <w:rPr>
                  <w:rFonts w:ascii="한컴바탕" w:eastAsia="한컴바탕" w:hAnsi="한컴바탕" w:cs="한컴바탕"/>
                  <w:spacing w:val="-6"/>
                </w:rPr>
                <w:t>.pdf</w:t>
              </w:r>
            </w:hyperlink>
            <w:r w:rsidRPr="006C270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br/>
            </w:r>
            <w:hyperlink r:id="rId11" w:history="1">
              <w:r w:rsidRPr="006C2702">
                <w:rPr>
                  <w:rFonts w:ascii="한컴바탕" w:eastAsia="한컴바탕" w:hAnsi="한컴바탕" w:cs="한컴바탕" w:hint="eastAsia"/>
                  <w:spacing w:val="-6"/>
                </w:rPr>
                <w:t>별표4 : 수출상품 세율표</w:t>
              </w:r>
              <w:r w:rsidRPr="006C2702">
                <w:rPr>
                  <w:rFonts w:ascii="한컴바탕" w:eastAsia="한컴바탕" w:hAnsi="한컴바탕" w:cs="한컴바탕"/>
                  <w:spacing w:val="-6"/>
                </w:rPr>
                <w:t>.pdf</w:t>
              </w:r>
            </w:hyperlink>
            <w:r w:rsidRPr="006C2702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br/>
            </w:r>
            <w:hyperlink r:id="rId12" w:history="1">
              <w:r w:rsidRPr="006C2702">
                <w:rPr>
                  <w:rFonts w:ascii="한컴바탕" w:eastAsia="한컴바탕" w:hAnsi="한컴바탕" w:cs="한컴바탕" w:hint="eastAsia"/>
                  <w:spacing w:val="-6"/>
                </w:rPr>
                <w:t>별표5 : 세율을 진일보 인하하는 수입상품 협정세율표(별도 첨부)</w:t>
              </w:r>
              <w:r w:rsidRPr="006C2702">
                <w:rPr>
                  <w:rFonts w:ascii="한컴바탕" w:eastAsia="한컴바탕" w:hAnsi="한컴바탕" w:cs="한컴바탕"/>
                  <w:spacing w:val="-6"/>
                </w:rPr>
                <w:t>.pdf</w:t>
              </w:r>
            </w:hyperlink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6C2702" w:rsidRPr="006C2702" w:rsidRDefault="006C2702" w:rsidP="006C2702">
            <w:pPr>
              <w:pStyle w:val="a9"/>
              <w:jc w:val="center"/>
              <w:rPr>
                <w:rFonts w:ascii="SimSun" w:hAnsi="SimSun" w:hint="eastAsia"/>
                <w:b/>
                <w:sz w:val="26"/>
                <w:szCs w:val="26"/>
              </w:rPr>
            </w:pPr>
            <w:r w:rsidRPr="006C2702">
              <w:rPr>
                <w:rFonts w:ascii="SimSun" w:eastAsia="SimSun" w:hAnsi="SimSun" w:cs="새굴림" w:hint="eastAsia"/>
                <w:b/>
                <w:sz w:val="26"/>
                <w:szCs w:val="26"/>
              </w:rPr>
              <w:t>国务</w:t>
            </w:r>
            <w:r w:rsidRPr="006C2702">
              <w:rPr>
                <w:rFonts w:ascii="SimSun" w:eastAsia="SimSun" w:hAnsi="SimSun" w:cs="맑은 고딕" w:hint="eastAsia"/>
                <w:b/>
                <w:sz w:val="26"/>
                <w:szCs w:val="26"/>
              </w:rPr>
              <w:t>院</w:t>
            </w:r>
            <w:r w:rsidRPr="006C2702">
              <w:rPr>
                <w:rFonts w:ascii="SimSun" w:eastAsia="SimSun" w:hAnsi="SimSun" w:cs="새굴림" w:hint="eastAsia"/>
                <w:b/>
                <w:sz w:val="26"/>
                <w:szCs w:val="26"/>
              </w:rPr>
              <w:t>关税税则</w:t>
            </w:r>
            <w:r w:rsidRPr="006C2702">
              <w:rPr>
                <w:rFonts w:ascii="SimSun" w:eastAsia="SimSun" w:hAnsi="SimSun" w:cs="맑은 고딕" w:hint="eastAsia"/>
                <w:b/>
                <w:sz w:val="26"/>
                <w:szCs w:val="26"/>
              </w:rPr>
              <w:t>委</w:t>
            </w:r>
            <w:r w:rsidRPr="006C2702">
              <w:rPr>
                <w:rFonts w:ascii="SimSun" w:eastAsia="SimSun" w:hAnsi="SimSun" w:cs="새굴림" w:hint="eastAsia"/>
                <w:b/>
                <w:sz w:val="26"/>
                <w:szCs w:val="26"/>
              </w:rPr>
              <w:t>员会关</w:t>
            </w:r>
            <w:r w:rsidRPr="006C2702">
              <w:rPr>
                <w:rFonts w:ascii="SimSun" w:eastAsia="SimSun" w:hAnsi="SimSun" w:cs="맑은 고딕" w:hint="eastAsia"/>
                <w:b/>
                <w:sz w:val="26"/>
                <w:szCs w:val="26"/>
              </w:rPr>
              <w:t>于</w:t>
            </w:r>
            <w:r w:rsidRPr="006C2702">
              <w:rPr>
                <w:rFonts w:ascii="SimSun" w:eastAsia="SimSun" w:hAnsi="SimSun" w:hint="eastAsia"/>
                <w:b/>
                <w:sz w:val="26"/>
                <w:szCs w:val="26"/>
              </w:rPr>
              <w:t>2019年</w:t>
            </w:r>
            <w:r w:rsidRPr="006C2702">
              <w:rPr>
                <w:rFonts w:ascii="SimSun" w:eastAsia="SimSun" w:hAnsi="SimSun" w:cs="새굴림" w:hint="eastAsia"/>
                <w:b/>
                <w:sz w:val="26"/>
                <w:szCs w:val="26"/>
              </w:rPr>
              <w:t>进</w:t>
            </w:r>
            <w:r w:rsidRPr="006C2702">
              <w:rPr>
                <w:rFonts w:ascii="SimSun" w:eastAsia="SimSun" w:hAnsi="SimSun" w:cs="맑은 고딕" w:hint="eastAsia"/>
                <w:b/>
                <w:sz w:val="26"/>
                <w:szCs w:val="26"/>
              </w:rPr>
              <w:t>出口</w:t>
            </w:r>
            <w:r w:rsidRPr="006C2702">
              <w:rPr>
                <w:rFonts w:ascii="SimSun" w:eastAsia="SimSun" w:hAnsi="SimSun" w:cs="새굴림" w:hint="eastAsia"/>
                <w:b/>
                <w:sz w:val="26"/>
                <w:szCs w:val="26"/>
              </w:rPr>
              <w:t>暂</w:t>
            </w:r>
            <w:r w:rsidRPr="006C2702">
              <w:rPr>
                <w:rFonts w:ascii="SimSun" w:eastAsia="SimSun" w:hAnsi="SimSun" w:cs="맑은 고딕" w:hint="eastAsia"/>
                <w:b/>
                <w:sz w:val="26"/>
                <w:szCs w:val="26"/>
              </w:rPr>
              <w:t>定</w:t>
            </w:r>
            <w:r w:rsidRPr="006C2702">
              <w:rPr>
                <w:rFonts w:ascii="SimSun" w:eastAsia="SimSun" w:hAnsi="SimSun" w:cs="새굴림" w:hint="eastAsia"/>
                <w:b/>
                <w:sz w:val="26"/>
                <w:szCs w:val="26"/>
              </w:rPr>
              <w:t>税</w:t>
            </w:r>
            <w:r w:rsidRPr="006C2702">
              <w:rPr>
                <w:rFonts w:ascii="SimSun" w:eastAsia="SimSun" w:hAnsi="SimSun" w:cs="맑은 고딕" w:hint="eastAsia"/>
                <w:b/>
                <w:sz w:val="26"/>
                <w:szCs w:val="26"/>
              </w:rPr>
              <w:t>率等</w:t>
            </w:r>
            <w:r w:rsidRPr="006C2702">
              <w:rPr>
                <w:rFonts w:ascii="SimSun" w:eastAsia="SimSun" w:hAnsi="SimSun" w:cs="새굴림" w:hint="eastAsia"/>
                <w:b/>
                <w:sz w:val="26"/>
                <w:szCs w:val="26"/>
              </w:rPr>
              <w:t>调</w:t>
            </w:r>
            <w:r w:rsidRPr="006C2702">
              <w:rPr>
                <w:rFonts w:ascii="SimSun" w:eastAsia="SimSun" w:hAnsi="SimSun" w:cs="맑은 고딕" w:hint="eastAsia"/>
                <w:b/>
                <w:sz w:val="26"/>
                <w:szCs w:val="26"/>
              </w:rPr>
              <w:t>整方案的通知</w:t>
            </w:r>
          </w:p>
          <w:p w:rsidR="006E4A2D" w:rsidRPr="006E4A2D" w:rsidRDefault="006C2702" w:rsidP="006C2702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>税委会〔2018〕65号</w:t>
            </w:r>
          </w:p>
          <w:p w:rsidR="006E4A2D" w:rsidRDefault="006E4A2D" w:rsidP="006E4A2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6C2702" w:rsidRPr="006C2702" w:rsidRDefault="006C2702" w:rsidP="006E4A2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>海关总署：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为促进经济高质量发展和进出口贸易稳定增长，根据《中华人民共和国进出口关税条例》的相关规定，自2019年1月1日起对部分商品的进出口关税进行调整，现将《2019年进出口暂定税率等调整方案》印送你署，具体内容详见附件。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附件：2019年进出口暂定税率等调整方案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6C2702" w:rsidRPr="006C2702" w:rsidRDefault="006C2702" w:rsidP="006C2702">
            <w:pPr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国务院关税税则委员会</w:t>
            </w:r>
          </w:p>
          <w:p w:rsidR="006C2702" w:rsidRPr="006C2702" w:rsidRDefault="006C2702" w:rsidP="006C2702">
            <w:pPr>
              <w:spacing w:line="360" w:lineRule="auto"/>
              <w:jc w:val="right"/>
              <w:rPr>
                <w:rFonts w:ascii="SimSun" w:hAnsi="SimSun" w:hint="eastAsia"/>
                <w:szCs w:val="21"/>
                <w:lang w:eastAsia="ko-KR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2018年12月22日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>附件：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6C2702" w:rsidRPr="006C2702" w:rsidRDefault="006C2702" w:rsidP="006C2702">
            <w:pPr>
              <w:spacing w:line="360" w:lineRule="auto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6C2702">
              <w:rPr>
                <w:rFonts w:ascii="SimSun" w:eastAsia="SimSun" w:hAnsi="SimSun" w:hint="eastAsia"/>
                <w:b/>
                <w:sz w:val="26"/>
                <w:szCs w:val="26"/>
              </w:rPr>
              <w:t>2019年进出口暂定税率等调整方案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一、调整进口关税税率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（一）最惠国税率。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1．自2019年1月1日起对706项商品实施进口暂定税率；自2019年7月1日起，取消14项信息技术产品进口暂定税率，同时缩小1项进口暂定税率适</w:t>
            </w:r>
            <w:r w:rsidRPr="006C2702">
              <w:rPr>
                <w:rFonts w:ascii="SimSun" w:eastAsia="SimSun" w:hAnsi="SimSun" w:hint="eastAsia"/>
                <w:szCs w:val="21"/>
              </w:rPr>
              <w:lastRenderedPageBreak/>
              <w:t>用范围（见附1）。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2．对《中华人民共和国加入世界贸易组织关税减让表修正案》附表所列信息技术产品最惠国税率自2019年7月1日起实施第四次降税（见附2）。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（二）关税配额税率。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继续对小麦等8类商品实施关税配额管理，税率不变。其中，对尿素、复合肥、磷酸氢铵3种化肥的关税配额税率继续实施1%的进口暂定税率。继续对配额外进口的一定数量棉花实施滑准税，并进行适当调整（见附3）。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（三）协定税率。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1. 根据我国与有关国家或地区签署的贸易或关税优惠协定，除此前已报经国务院批准的协定税率降税方案继续实施外，自2019年1月1日起，对我与新西兰、秘鲁、哥斯达黎加、瑞士、冰岛、韩国、澳大利亚、格鲁吉亚以及亚太贸易协定国家的协定税率进一步降低。根据内地与香港、澳门《关于建立更紧密经贸关系的安排》货物贸易协议（以下简称《协议》），自《协议》实施之日起，除内地在有关国际协议中作出特殊承诺的产品外，对原产于香港、澳门的产品全面实施零关税（见附5）。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2. 当最惠国税率低于或等于协定税率时，按相关协定的规定执行。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（四）特惠税率。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根据亚太贸易协定规定，对亚太贸易协定项下的特惠税率进一步降低（见附5）。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二、出口关税税率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自2019年1月1日起继续对铬铁等108项出口商品征收出口关税或实行出口暂定税率，税率维持不变，取消94项出口暂定税率（见附4）。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 xml:space="preserve">　　以上方案，除另有规定外，自2019年1月1日起实施。</w:t>
            </w:r>
          </w:p>
          <w:p w:rsidR="006C2702" w:rsidRPr="006C2702" w:rsidRDefault="006C2702" w:rsidP="006C2702">
            <w:pPr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6C2702" w:rsidRPr="006C2702" w:rsidRDefault="006C2702" w:rsidP="006C2702">
            <w:pPr>
              <w:spacing w:line="360" w:lineRule="auto"/>
              <w:ind w:firstLine="420"/>
              <w:rPr>
                <w:rFonts w:ascii="SimSun" w:eastAsia="SimSun" w:hAnsi="SimSun"/>
                <w:szCs w:val="21"/>
              </w:rPr>
            </w:pPr>
            <w:r w:rsidRPr="006C2702">
              <w:rPr>
                <w:rFonts w:ascii="SimSun" w:eastAsia="SimSun" w:hAnsi="SimSun" w:hint="eastAsia"/>
                <w:szCs w:val="21"/>
              </w:rPr>
              <w:t>附件（下载）：</w:t>
            </w:r>
          </w:p>
          <w:p w:rsidR="00F6633C" w:rsidRPr="006E4A2D" w:rsidRDefault="006C2702" w:rsidP="006C2702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hyperlink r:id="rId13" w:history="1">
              <w:r w:rsidRPr="006C2702">
                <w:rPr>
                  <w:rFonts w:ascii="SimSun" w:eastAsia="SimSun" w:hAnsi="SimSun"/>
                </w:rPr>
                <w:t>附1 进口商品暂定税率表.pdf</w:t>
              </w:r>
            </w:hyperlink>
            <w:r w:rsidRPr="006C2702">
              <w:rPr>
                <w:rFonts w:ascii="SimSun" w:eastAsia="SimSun" w:hAnsi="SimSun"/>
                <w:szCs w:val="21"/>
              </w:rPr>
              <w:br/>
            </w:r>
            <w:hyperlink r:id="rId14" w:history="1">
              <w:r w:rsidRPr="006C2702">
                <w:rPr>
                  <w:rFonts w:ascii="SimSun" w:eastAsia="SimSun" w:hAnsi="SimSun"/>
                </w:rPr>
                <w:t>附2 部分信息技术产品最惠国税率表.pdf</w:t>
              </w:r>
            </w:hyperlink>
            <w:r w:rsidRPr="006C2702">
              <w:rPr>
                <w:rFonts w:ascii="SimSun" w:eastAsia="SimSun" w:hAnsi="SimSun"/>
                <w:szCs w:val="21"/>
              </w:rPr>
              <w:br/>
            </w:r>
            <w:hyperlink r:id="rId15" w:history="1">
              <w:r w:rsidRPr="006C2702">
                <w:rPr>
                  <w:rFonts w:ascii="SimSun" w:eastAsia="SimSun" w:hAnsi="SimSun"/>
                </w:rPr>
                <w:t>附3 关税配额商品税目税率表.pdf</w:t>
              </w:r>
            </w:hyperlink>
            <w:r w:rsidRPr="006C2702">
              <w:rPr>
                <w:rFonts w:ascii="SimSun" w:eastAsia="SimSun" w:hAnsi="SimSun"/>
                <w:szCs w:val="21"/>
              </w:rPr>
              <w:br/>
            </w:r>
            <w:hyperlink r:id="rId16" w:history="1">
              <w:r w:rsidRPr="006C2702">
                <w:rPr>
                  <w:rFonts w:ascii="SimSun" w:eastAsia="SimSun" w:hAnsi="SimSun"/>
                </w:rPr>
                <w:t>附4 出口商品税率表.pdf</w:t>
              </w:r>
            </w:hyperlink>
            <w:r w:rsidRPr="006C2702">
              <w:rPr>
                <w:rFonts w:ascii="SimSun" w:eastAsia="SimSun" w:hAnsi="SimSun"/>
                <w:szCs w:val="21"/>
              </w:rPr>
              <w:br/>
            </w:r>
            <w:hyperlink r:id="rId17" w:history="1">
              <w:r w:rsidRPr="006C2702">
                <w:rPr>
                  <w:rFonts w:ascii="SimSun" w:eastAsia="SimSun" w:hAnsi="SimSun"/>
                </w:rPr>
                <w:t>附5 进一步降税的进口商品协定税率表（另附）.pdf</w:t>
              </w:r>
            </w:hyperlink>
          </w:p>
          <w:p w:rsidR="00DB5008" w:rsidRPr="00C32E2B" w:rsidRDefault="00F6633C" w:rsidP="006E4A2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78" w:rsidRDefault="00B50678" w:rsidP="00C278F4">
      <w:r>
        <w:separator/>
      </w:r>
    </w:p>
  </w:endnote>
  <w:endnote w:type="continuationSeparator" w:id="0">
    <w:p w:rsidR="00B50678" w:rsidRDefault="00B50678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78" w:rsidRDefault="00B50678" w:rsidP="00C278F4">
      <w:r>
        <w:separator/>
      </w:r>
    </w:p>
  </w:footnote>
  <w:footnote w:type="continuationSeparator" w:id="0">
    <w:p w:rsidR="00B50678" w:rsidRDefault="00B50678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E6E736A"/>
    <w:multiLevelType w:val="hybridMultilevel"/>
    <w:tmpl w:val="12129AB0"/>
    <w:lvl w:ilvl="0" w:tplc="28F83FEA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5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6">
    <w:nsid w:val="310A1AA8"/>
    <w:multiLevelType w:val="hybridMultilevel"/>
    <w:tmpl w:val="C00E5D42"/>
    <w:lvl w:ilvl="0" w:tplc="43CC5B86">
      <w:start w:val="1"/>
      <w:numFmt w:val="decimalEnclosedCircle"/>
      <w:lvlText w:val="%1"/>
      <w:lvlJc w:val="left"/>
      <w:pPr>
        <w:ind w:left="126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</w:lvl>
  </w:abstractNum>
  <w:abstractNum w:abstractNumId="7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0">
    <w:nsid w:val="57116898"/>
    <w:multiLevelType w:val="hybridMultilevel"/>
    <w:tmpl w:val="AFA4A682"/>
    <w:lvl w:ilvl="0" w:tplc="43CC5B86">
      <w:start w:val="1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1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4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6A2D7C5D"/>
    <w:multiLevelType w:val="hybridMultilevel"/>
    <w:tmpl w:val="AA2031B2"/>
    <w:lvl w:ilvl="0" w:tplc="EB8E6C1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8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20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7"/>
  </w:num>
  <w:num w:numId="5">
    <w:abstractNumId w:val="19"/>
  </w:num>
  <w:num w:numId="6">
    <w:abstractNumId w:val="20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21"/>
  </w:num>
  <w:num w:numId="13">
    <w:abstractNumId w:val="14"/>
  </w:num>
  <w:num w:numId="14">
    <w:abstractNumId w:val="9"/>
  </w:num>
  <w:num w:numId="15">
    <w:abstractNumId w:val="4"/>
  </w:num>
  <w:num w:numId="16">
    <w:abstractNumId w:val="18"/>
  </w:num>
  <w:num w:numId="17">
    <w:abstractNumId w:val="1"/>
  </w:num>
  <w:num w:numId="18">
    <w:abstractNumId w:val="5"/>
  </w:num>
  <w:num w:numId="19">
    <w:abstractNumId w:val="16"/>
  </w:num>
  <w:num w:numId="20">
    <w:abstractNumId w:val="2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82372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C2702"/>
    <w:rsid w:val="006E2B22"/>
    <w:rsid w:val="006E4A2D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50678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EC4E01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 Spacing"/>
    <w:uiPriority w:val="1"/>
    <w:qFormat/>
    <w:rsid w:val="006C2702"/>
    <w:pPr>
      <w:widowControl w:val="0"/>
      <w:jc w:val="both"/>
    </w:pPr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 Spacing"/>
    <w:uiPriority w:val="1"/>
    <w:qFormat/>
    <w:rsid w:val="006C2702"/>
    <w:pPr>
      <w:widowControl w:val="0"/>
      <w:jc w:val="both"/>
    </w:pPr>
    <w:rPr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s.mof.gov.cn/zhengwuxinxi/zhengcefabu/201812/P020181221619891346040.pdf" TargetMode="External"/><Relationship Id="rId13" Type="http://schemas.openxmlformats.org/officeDocument/2006/relationships/hyperlink" Target="http://gss.mof.gov.cn/zhengwuxinxi/zhengcefabu/201812/P020181221619891346040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ss.mof.gov.cn/zhengwuxinxi/zhengcefabu/201812/P020181224375352885292.pdf" TargetMode="External"/><Relationship Id="rId17" Type="http://schemas.openxmlformats.org/officeDocument/2006/relationships/hyperlink" Target="http://gss.mof.gov.cn/zhengwuxinxi/zhengcefabu/201812/P02018122437535288529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gss.mof.gov.cn/zhengwuxinxi/zhengcefabu/201812/P020181221619892272965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ss.mof.gov.cn/zhengwuxinxi/zhengcefabu/201812/P02018122161989227296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ss.mof.gov.cn/zhengwuxinxi/zhengcefabu/201812/P020181221619892028167.pdf" TargetMode="External"/><Relationship Id="rId10" Type="http://schemas.openxmlformats.org/officeDocument/2006/relationships/hyperlink" Target="http://gss.mof.gov.cn/zhengwuxinxi/zhengcefabu/201812/P020181221619892028167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ss.mof.gov.cn/zhengwuxinxi/zhengcefabu/201812/P020181221619891716302.pdf" TargetMode="External"/><Relationship Id="rId14" Type="http://schemas.openxmlformats.org/officeDocument/2006/relationships/hyperlink" Target="http://gss.mof.gov.cn/zhengwuxinxi/zhengcefabu/201812/P020181221619891716302.pd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Windows 사용자</cp:lastModifiedBy>
  <cp:revision>1</cp:revision>
  <dcterms:created xsi:type="dcterms:W3CDTF">2016-01-15T03:23:00Z</dcterms:created>
  <dcterms:modified xsi:type="dcterms:W3CDTF">2018-12-27T00:52:00Z</dcterms:modified>
</cp:coreProperties>
</file>