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proofErr w:type="spellStart"/>
            <w:r w:rsidRPr="00DC04E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세율 조정에 관한 통지</w:t>
            </w:r>
          </w:p>
          <w:bookmarkEnd w:id="0"/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[2018]32호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</w:t>
            </w:r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성, 자치구, 직할시, </w:t>
            </w:r>
            <w:proofErr w:type="spellStart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>계획단열시</w:t>
            </w:r>
            <w:proofErr w:type="spellEnd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>재정청</w:t>
            </w:r>
            <w:proofErr w:type="spellEnd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(국), </w:t>
            </w:r>
            <w:proofErr w:type="spellStart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>국가세무국</w:t>
            </w:r>
            <w:proofErr w:type="spellEnd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>지방세무국</w:t>
            </w:r>
            <w:proofErr w:type="spellEnd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>신강생산건설병단</w:t>
            </w:r>
            <w:proofErr w:type="spellEnd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C04E7">
              <w:rPr>
                <w:rFonts w:ascii="한컴바탕" w:eastAsia="한컴바탕" w:hAnsi="한컴바탕" w:cs="한컴바탕"/>
                <w:szCs w:val="21"/>
                <w:lang w:eastAsia="ko-KR"/>
              </w:rPr>
              <w:t>재정국</w:t>
            </w:r>
            <w:proofErr w:type="spellEnd"/>
            <w:r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: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proofErr w:type="spellStart"/>
            <w:r w:rsidRPr="00DC04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제도 개선을 위해,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 조정 유관정책을 다음과 같이 통지한다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납세자가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과세판매행위 발생 또는 수입화물을 수입하여 기존에 17%와 11% 세율을 적용한 경우, 세율을 각각 16%와 10%로 조정한다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 납세자가 농산품을 구입하고 기존에 11%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공제율을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적용한 경우,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공제율은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10%로 조정한다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납세자가 생산판매 또는 위탁가공용으로 16%세율 화물의 농산품을 구입한 경우, 12%의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공제율에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따라 매입세액을 계산한다.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4. 기존 17%세율을 적용하고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(환급)율이 17%인 수출화물은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(환급)율을 16%으로 조정한다. 기존 11%세율을 적용하고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(환급)율이 11%인 수출화물 및 국경간 과세행위는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(환급)율을 10%으로 조정한다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5. 대외무역기업은 2018년 7월 31일 전 수출한 제4조에 관련된 화물 및 판매한 제4조에 관련된 국경간 과세행위는 구입시 이미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조정전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세율에 따라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증치세를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징수한 경우 조정전의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(환급)율로 집행한다. 구입시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조정후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세율에 따라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증치세를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징수한 경우 조정후의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(환급)율을 집행한다. 생산기업이 2018년 7월 31일 전 수출한 제4조에 관련된 화물 및 판매한 제4조에 관련된 국경간 과세행위는 조정전의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(환급)율로 집행한다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수출화물</w:t>
            </w: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(환급)율의 집행시기 및 수출화물의 시간은 수출화물 세관신고서 상 명기된 수출일자를 기준으로 조정하고, 국경간 과세행위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(환급)율의 집행시기 및 국경간 과세행위 판매 시간은 수출 세금계산서의 발행일자를 기준으로 조정한다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6. 본 통지는 2018년 5월 1일부터 집행한다. 이전의 유관 규정과 본 통지 규정의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세율,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공제율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수출퇴세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(환급)율이 불일치할 경우, 본 통지를 기준으로 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7. 각 지역은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 조정업무를 더욱 중시하여야 하며, 실시전의 각 항목의 준비 및 실시과정 중의 모니터링 분석 및 홍보설명 등 업무를 잘 처리하고,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증치세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 조정업무를 안정적이고 단</w:t>
            </w: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 xml:space="preserve">계별로 추진될 수 있도록 확실히 보장한다. 만약 문제가 발생할 경우, 즉시 </w:t>
            </w:r>
            <w:proofErr w:type="spellStart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재정부와</w:t>
            </w:r>
            <w:proofErr w:type="spellEnd"/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세무총국에 보고한다.  </w:t>
            </w:r>
          </w:p>
          <w:p w:rsid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proofErr w:type="spellStart"/>
            <w:r w:rsidRPr="00DC04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DC04E7" w:rsidRPr="00DC04E7" w:rsidRDefault="00DC04E7" w:rsidP="00DC04E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DC04E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F6633C" w:rsidRPr="00F6633C" w:rsidRDefault="00DC04E7" w:rsidP="00DC04E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04E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4월 4일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C04E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关于调整增值税税率的通知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>财税〔</w:t>
            </w:r>
            <w:r w:rsidRPr="00DC04E7">
              <w:rPr>
                <w:rFonts w:ascii="SimSun" w:eastAsia="SimSun" w:hAnsi="SimSun"/>
                <w:szCs w:val="21"/>
              </w:rPr>
              <w:t>2018〕32</w:t>
            </w:r>
            <w:r w:rsidRPr="00DC04E7">
              <w:rPr>
                <w:rFonts w:ascii="SimSun" w:eastAsia="SimSun" w:hAnsi="SimSun" w:hint="eastAsia"/>
                <w:szCs w:val="21"/>
              </w:rPr>
              <w:t>号</w:t>
            </w:r>
          </w:p>
          <w:p w:rsid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各省、自治区、直辖市、计划单列市财政厅（局）、国家税务局、地方税务局，新疆生产建设兵团财政局：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为完善增值税制度，现将调整增值税税率有关政策通知如下：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一、纳税人发生增值税应税销售行为或者进口货物，原适用</w:t>
            </w:r>
            <w:r w:rsidRPr="00DC04E7">
              <w:rPr>
                <w:rFonts w:ascii="SimSun" w:eastAsia="SimSun" w:hAnsi="SimSun"/>
                <w:szCs w:val="21"/>
              </w:rPr>
              <w:t>17%</w:t>
            </w:r>
            <w:r w:rsidRPr="00DC04E7">
              <w:rPr>
                <w:rFonts w:ascii="SimSun" w:eastAsia="SimSun" w:hAnsi="SimSun" w:hint="eastAsia"/>
                <w:szCs w:val="21"/>
              </w:rPr>
              <w:t>和</w:t>
            </w:r>
            <w:r w:rsidRPr="00DC04E7">
              <w:rPr>
                <w:rFonts w:ascii="SimSun" w:eastAsia="SimSun" w:hAnsi="SimSun"/>
                <w:szCs w:val="21"/>
              </w:rPr>
              <w:t>11%</w:t>
            </w:r>
            <w:r w:rsidRPr="00DC04E7">
              <w:rPr>
                <w:rFonts w:ascii="SimSun" w:eastAsia="SimSun" w:hAnsi="SimSun" w:hint="eastAsia"/>
                <w:szCs w:val="21"/>
              </w:rPr>
              <w:t>税率的，税率分别调整为</w:t>
            </w:r>
            <w:r w:rsidRPr="00DC04E7">
              <w:rPr>
                <w:rFonts w:ascii="SimSun" w:eastAsia="SimSun" w:hAnsi="SimSun"/>
                <w:szCs w:val="21"/>
              </w:rPr>
              <w:t>16%、10%。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二、纳税人购进农产品，原适用</w:t>
            </w:r>
            <w:r w:rsidRPr="00DC04E7">
              <w:rPr>
                <w:rFonts w:ascii="SimSun" w:eastAsia="SimSun" w:hAnsi="SimSun"/>
                <w:szCs w:val="21"/>
              </w:rPr>
              <w:t>11%</w:t>
            </w:r>
            <w:r w:rsidRPr="00DC04E7">
              <w:rPr>
                <w:rFonts w:ascii="SimSun" w:eastAsia="SimSun" w:hAnsi="SimSun" w:hint="eastAsia"/>
                <w:szCs w:val="21"/>
              </w:rPr>
              <w:t>扣除率的，扣除率调整为</w:t>
            </w:r>
            <w:r w:rsidRPr="00DC04E7">
              <w:rPr>
                <w:rFonts w:ascii="SimSun" w:eastAsia="SimSun" w:hAnsi="SimSun"/>
                <w:szCs w:val="21"/>
              </w:rPr>
              <w:t>10%。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三、纳税人购进用于生产销售或委托加工</w:t>
            </w:r>
            <w:r w:rsidRPr="00DC04E7">
              <w:rPr>
                <w:rFonts w:ascii="SimSun" w:eastAsia="SimSun" w:hAnsi="SimSun"/>
                <w:szCs w:val="21"/>
              </w:rPr>
              <w:t>16%</w:t>
            </w:r>
            <w:r w:rsidRPr="00DC04E7">
              <w:rPr>
                <w:rFonts w:ascii="SimSun" w:eastAsia="SimSun" w:hAnsi="SimSun" w:hint="eastAsia"/>
                <w:szCs w:val="21"/>
              </w:rPr>
              <w:t>税率货物的农产品，按照</w:t>
            </w:r>
            <w:r w:rsidRPr="00DC04E7">
              <w:rPr>
                <w:rFonts w:ascii="SimSun" w:eastAsia="SimSun" w:hAnsi="SimSun"/>
                <w:szCs w:val="21"/>
              </w:rPr>
              <w:t>12%</w:t>
            </w:r>
            <w:r w:rsidRPr="00DC04E7">
              <w:rPr>
                <w:rFonts w:ascii="SimSun" w:eastAsia="SimSun" w:hAnsi="SimSun" w:hint="eastAsia"/>
                <w:szCs w:val="21"/>
              </w:rPr>
              <w:t>的扣除率计算进项税额。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四、原适用</w:t>
            </w:r>
            <w:r w:rsidRPr="00DC04E7">
              <w:rPr>
                <w:rFonts w:ascii="SimSun" w:eastAsia="SimSun" w:hAnsi="SimSun"/>
                <w:szCs w:val="21"/>
              </w:rPr>
              <w:t>17%</w:t>
            </w:r>
            <w:r w:rsidRPr="00DC04E7">
              <w:rPr>
                <w:rFonts w:ascii="SimSun" w:eastAsia="SimSun" w:hAnsi="SimSun" w:hint="eastAsia"/>
                <w:szCs w:val="21"/>
              </w:rPr>
              <w:t>税率且出口退税率为</w:t>
            </w:r>
            <w:r w:rsidRPr="00DC04E7">
              <w:rPr>
                <w:rFonts w:ascii="SimSun" w:eastAsia="SimSun" w:hAnsi="SimSun"/>
                <w:szCs w:val="21"/>
              </w:rPr>
              <w:t>17%</w:t>
            </w:r>
            <w:r w:rsidRPr="00DC04E7">
              <w:rPr>
                <w:rFonts w:ascii="SimSun" w:eastAsia="SimSun" w:hAnsi="SimSun" w:hint="eastAsia"/>
                <w:szCs w:val="21"/>
              </w:rPr>
              <w:t>的出口货物，出口退税率调整至</w:t>
            </w:r>
            <w:r w:rsidRPr="00DC04E7">
              <w:rPr>
                <w:rFonts w:ascii="SimSun" w:eastAsia="SimSun" w:hAnsi="SimSun"/>
                <w:szCs w:val="21"/>
              </w:rPr>
              <w:t>16%。</w:t>
            </w:r>
            <w:r w:rsidRPr="00DC04E7">
              <w:rPr>
                <w:rFonts w:ascii="SimSun" w:eastAsia="SimSun" w:hAnsi="SimSun" w:hint="eastAsia"/>
                <w:szCs w:val="21"/>
              </w:rPr>
              <w:t>原适用</w:t>
            </w:r>
            <w:r w:rsidRPr="00DC04E7">
              <w:rPr>
                <w:rFonts w:ascii="SimSun" w:eastAsia="SimSun" w:hAnsi="SimSun"/>
                <w:szCs w:val="21"/>
              </w:rPr>
              <w:t>11%</w:t>
            </w:r>
            <w:r w:rsidRPr="00DC04E7">
              <w:rPr>
                <w:rFonts w:ascii="SimSun" w:eastAsia="SimSun" w:hAnsi="SimSun" w:hint="eastAsia"/>
                <w:szCs w:val="21"/>
              </w:rPr>
              <w:t>税率且出口退税率为</w:t>
            </w:r>
            <w:r w:rsidRPr="00DC04E7">
              <w:rPr>
                <w:rFonts w:ascii="SimSun" w:eastAsia="SimSun" w:hAnsi="SimSun"/>
                <w:szCs w:val="21"/>
              </w:rPr>
              <w:t>11%</w:t>
            </w:r>
            <w:r w:rsidRPr="00DC04E7">
              <w:rPr>
                <w:rFonts w:ascii="SimSun" w:eastAsia="SimSun" w:hAnsi="SimSun" w:hint="eastAsia"/>
                <w:szCs w:val="21"/>
              </w:rPr>
              <w:t>的出口货物、跨境应税行为，出口退税率调整至</w:t>
            </w:r>
            <w:r w:rsidRPr="00DC04E7">
              <w:rPr>
                <w:rFonts w:ascii="SimSun" w:eastAsia="SimSun" w:hAnsi="SimSun"/>
                <w:szCs w:val="21"/>
              </w:rPr>
              <w:t>10%。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五、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外贸企业</w:t>
            </w:r>
            <w:r w:rsidRPr="00DC04E7">
              <w:rPr>
                <w:rFonts w:ascii="SimSun" w:eastAsia="SimSun" w:hAnsi="SimSun"/>
                <w:spacing w:val="10"/>
                <w:szCs w:val="21"/>
              </w:rPr>
              <w:t>2018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年</w:t>
            </w:r>
            <w:r w:rsidRPr="00DC04E7">
              <w:rPr>
                <w:rFonts w:ascii="SimSun" w:eastAsia="SimSun" w:hAnsi="SimSun"/>
                <w:spacing w:val="10"/>
                <w:szCs w:val="21"/>
              </w:rPr>
              <w:t>7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月</w:t>
            </w:r>
            <w:r w:rsidRPr="00DC04E7">
              <w:rPr>
                <w:rFonts w:ascii="SimSun" w:eastAsia="SimSun" w:hAnsi="SimSun"/>
                <w:spacing w:val="10"/>
                <w:szCs w:val="21"/>
              </w:rPr>
              <w:t>31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日前出口的第四条所涉货物、销售的第四条所涉跨境应税行为，购进时已按调整前税率征收增值税的，执行调整前的出口退税率；购进时已按调整后税率征收增值税的，执行调整后的出口退税率。生产企业</w:t>
            </w:r>
            <w:r w:rsidRPr="00DC04E7">
              <w:rPr>
                <w:rFonts w:ascii="SimSun" w:eastAsia="SimSun" w:hAnsi="SimSun"/>
                <w:spacing w:val="10"/>
                <w:szCs w:val="21"/>
              </w:rPr>
              <w:t>2018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年</w:t>
            </w:r>
            <w:r w:rsidRPr="00DC04E7">
              <w:rPr>
                <w:rFonts w:ascii="SimSun" w:eastAsia="SimSun" w:hAnsi="SimSun"/>
                <w:spacing w:val="10"/>
                <w:szCs w:val="21"/>
              </w:rPr>
              <w:t>7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月</w:t>
            </w:r>
            <w:r w:rsidRPr="00DC04E7">
              <w:rPr>
                <w:rFonts w:ascii="SimSun" w:eastAsia="SimSun" w:hAnsi="SimSun"/>
                <w:spacing w:val="10"/>
                <w:szCs w:val="21"/>
              </w:rPr>
              <w:t>31</w:t>
            </w:r>
            <w:r w:rsidRPr="00DC04E7">
              <w:rPr>
                <w:rFonts w:ascii="SimSun" w:eastAsia="SimSun" w:hAnsi="SimSun" w:hint="eastAsia"/>
                <w:spacing w:val="10"/>
                <w:szCs w:val="21"/>
              </w:rPr>
              <w:t>日前出口的第四条所涉货物、销售的第四条所涉跨境应税行为，执行调整前的出口退税率。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调整出口货物退税率的执行时间及出口货物的时间，以出口货物报关单上注明的出口日期为准，调整跨境应税行为退税率的执行时间及销售跨境应税行为的时间，以出口发票的开具日期为准。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六、本通知自</w:t>
            </w:r>
            <w:r w:rsidRPr="00DC04E7">
              <w:rPr>
                <w:rFonts w:ascii="SimSun" w:eastAsia="SimSun" w:hAnsi="SimSun"/>
                <w:szCs w:val="21"/>
              </w:rPr>
              <w:t>2018</w:t>
            </w:r>
            <w:r w:rsidRPr="00DC04E7">
              <w:rPr>
                <w:rFonts w:ascii="SimSun" w:eastAsia="SimSun" w:hAnsi="SimSun" w:hint="eastAsia"/>
                <w:szCs w:val="21"/>
              </w:rPr>
              <w:t>年</w:t>
            </w:r>
            <w:r w:rsidRPr="00DC04E7">
              <w:rPr>
                <w:rFonts w:ascii="SimSun" w:eastAsia="SimSun" w:hAnsi="SimSun"/>
                <w:szCs w:val="21"/>
              </w:rPr>
              <w:t>5</w:t>
            </w:r>
            <w:r w:rsidRPr="00DC04E7">
              <w:rPr>
                <w:rFonts w:ascii="SimSun" w:eastAsia="SimSun" w:hAnsi="SimSun" w:hint="eastAsia"/>
                <w:szCs w:val="21"/>
              </w:rPr>
              <w:t>月</w:t>
            </w:r>
            <w:r w:rsidRPr="00DC04E7">
              <w:rPr>
                <w:rFonts w:ascii="SimSun" w:eastAsia="SimSun" w:hAnsi="SimSun"/>
                <w:szCs w:val="21"/>
              </w:rPr>
              <w:t>1</w:t>
            </w:r>
            <w:r w:rsidRPr="00DC04E7">
              <w:rPr>
                <w:rFonts w:ascii="SimSun" w:eastAsia="SimSun" w:hAnsi="SimSun" w:hint="eastAsia"/>
                <w:szCs w:val="21"/>
              </w:rPr>
              <w:t>日起执行。此前有关规定与本通知规定的增值税税率、扣除率、出口退税率不一致的，以本通知为准。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6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七、</w:t>
            </w:r>
            <w:r w:rsidRPr="00DC04E7">
              <w:rPr>
                <w:rFonts w:ascii="SimSun" w:eastAsia="SimSun" w:hAnsi="SimSun" w:hint="eastAsia"/>
                <w:spacing w:val="16"/>
                <w:szCs w:val="21"/>
              </w:rPr>
              <w:t>各地要高度重视增值税税率调整工作，做好实施前的各项准备以及实施过程中的监测分析、宣传解释等工作，确保增值税税率调</w:t>
            </w:r>
            <w:r w:rsidRPr="00DC04E7">
              <w:rPr>
                <w:rFonts w:ascii="SimSun" w:eastAsia="SimSun" w:hAnsi="SimSun" w:hint="eastAsia"/>
                <w:spacing w:val="16"/>
                <w:szCs w:val="21"/>
              </w:rPr>
              <w:lastRenderedPageBreak/>
              <w:t>整工作平稳、有序推进。如遇问题，请及时上报财政部和税务总局。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>财政部</w:t>
            </w:r>
            <w:r w:rsidRPr="00DC04E7">
              <w:rPr>
                <w:rFonts w:ascii="SimSun" w:eastAsia="SimSun" w:hAnsi="SimSun"/>
                <w:szCs w:val="21"/>
              </w:rPr>
              <w:t xml:space="preserve"> </w:t>
            </w:r>
          </w:p>
          <w:p w:rsidR="00DC04E7" w:rsidRPr="00DC04E7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F6633C" w:rsidRDefault="00DC04E7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04E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C04E7">
              <w:rPr>
                <w:rFonts w:ascii="SimSun" w:eastAsia="SimSun" w:hAnsi="SimSun"/>
                <w:szCs w:val="21"/>
              </w:rPr>
              <w:t>2018</w:t>
            </w:r>
            <w:r w:rsidRPr="00DC04E7">
              <w:rPr>
                <w:rFonts w:ascii="SimSun" w:eastAsia="SimSun" w:hAnsi="SimSun" w:hint="eastAsia"/>
                <w:szCs w:val="21"/>
              </w:rPr>
              <w:t>年</w:t>
            </w:r>
            <w:r w:rsidRPr="00DC04E7">
              <w:rPr>
                <w:rFonts w:ascii="SimSun" w:eastAsia="SimSun" w:hAnsi="SimSun"/>
                <w:szCs w:val="21"/>
              </w:rPr>
              <w:t>4</w:t>
            </w:r>
            <w:r w:rsidRPr="00DC04E7">
              <w:rPr>
                <w:rFonts w:ascii="SimSun" w:eastAsia="SimSun" w:hAnsi="SimSun" w:hint="eastAsia"/>
                <w:szCs w:val="21"/>
              </w:rPr>
              <w:t>月</w:t>
            </w:r>
            <w:r w:rsidRPr="00DC04E7">
              <w:rPr>
                <w:rFonts w:ascii="SimSun" w:eastAsia="SimSun" w:hAnsi="SimSun"/>
                <w:szCs w:val="21"/>
              </w:rPr>
              <w:t>4</w:t>
            </w:r>
            <w:r w:rsidRPr="00DC04E7">
              <w:rPr>
                <w:rFonts w:ascii="SimSun" w:eastAsia="SimSun" w:hAnsi="SimSun" w:hint="eastAsia"/>
                <w:szCs w:val="21"/>
              </w:rPr>
              <w:t>日</w:t>
            </w:r>
          </w:p>
          <w:p w:rsidR="00DC04E7" w:rsidRPr="00F6633C" w:rsidRDefault="00F6633C" w:rsidP="00DC04E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3C" w:rsidRDefault="009E643C" w:rsidP="00C278F4">
      <w:r>
        <w:separator/>
      </w:r>
    </w:p>
  </w:endnote>
  <w:endnote w:type="continuationSeparator" w:id="0">
    <w:p w:rsidR="009E643C" w:rsidRDefault="009E643C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3C" w:rsidRDefault="009E643C" w:rsidP="00C278F4">
      <w:r>
        <w:separator/>
      </w:r>
    </w:p>
  </w:footnote>
  <w:footnote w:type="continuationSeparator" w:id="0">
    <w:p w:rsidR="009E643C" w:rsidRDefault="009E643C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9E643C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04E7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2018-04-10T02:06:00Z</dcterms:modified>
</cp:coreProperties>
</file>