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315BCC" w:rsidRDefault="00315BCC" w:rsidP="00315BCC">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315BCC">
              <w:rPr>
                <w:rFonts w:ascii="한컴바탕" w:eastAsia="한컴바탕" w:hAnsi="한컴바탕" w:cs="한컴바탕" w:hint="eastAsia"/>
                <w:b/>
                <w:sz w:val="26"/>
                <w:szCs w:val="26"/>
                <w:lang w:eastAsia="ko-KR"/>
              </w:rPr>
              <w:t xml:space="preserve">사용권 허가에 따른 </w:t>
            </w:r>
          </w:p>
          <w:p w:rsidR="00315BCC" w:rsidRDefault="00315BCC" w:rsidP="00315BCC">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315BCC">
              <w:rPr>
                <w:rFonts w:ascii="한컴바탕" w:eastAsia="한컴바탕" w:hAnsi="한컴바탕" w:cs="한컴바탕" w:hint="eastAsia"/>
                <w:b/>
                <w:sz w:val="26"/>
                <w:szCs w:val="26"/>
                <w:lang w:eastAsia="ko-KR"/>
              </w:rPr>
              <w:t xml:space="preserve">기술양도소득의 기업소득세 관련 </w:t>
            </w:r>
          </w:p>
          <w:p w:rsidR="00315BCC" w:rsidRPr="00315BCC" w:rsidRDefault="00315BCC" w:rsidP="00315BCC">
            <w:pPr>
              <w:wordWrap w:val="0"/>
              <w:autoSpaceDN w:val="0"/>
              <w:snapToGrid w:val="0"/>
              <w:spacing w:line="290" w:lineRule="atLeast"/>
              <w:jc w:val="center"/>
              <w:rPr>
                <w:rFonts w:ascii="한컴바탕" w:eastAsia="한컴바탕" w:hAnsi="한컴바탕" w:cs="한컴바탕"/>
                <w:b/>
                <w:sz w:val="26"/>
                <w:szCs w:val="26"/>
                <w:lang w:eastAsia="ko-KR"/>
              </w:rPr>
            </w:pPr>
            <w:r w:rsidRPr="00315BCC">
              <w:rPr>
                <w:rFonts w:ascii="한컴바탕" w:eastAsia="한컴바탕" w:hAnsi="한컴바탕" w:cs="한컴바탕" w:hint="eastAsia"/>
                <w:b/>
                <w:sz w:val="26"/>
                <w:szCs w:val="26"/>
                <w:lang w:eastAsia="ko-KR"/>
              </w:rPr>
              <w:t>문제에 대한 국가세무총국의 공고</w:t>
            </w:r>
          </w:p>
          <w:p w:rsidR="00315BCC" w:rsidRPr="00315BCC" w:rsidRDefault="00315BCC" w:rsidP="00315BCC">
            <w:pPr>
              <w:wordWrap w:val="0"/>
              <w:autoSpaceDN w:val="0"/>
              <w:snapToGrid w:val="0"/>
              <w:spacing w:line="290" w:lineRule="atLeast"/>
              <w:jc w:val="center"/>
              <w:rPr>
                <w:rFonts w:ascii="한컴바탕" w:eastAsia="한컴바탕" w:hAnsi="한컴바탕" w:cs="한컴바탕"/>
                <w:szCs w:val="21"/>
                <w:lang w:eastAsia="ko-KR"/>
              </w:rPr>
            </w:pPr>
            <w:r w:rsidRPr="00315BCC">
              <w:rPr>
                <w:rFonts w:ascii="한컴바탕" w:eastAsia="한컴바탕" w:hAnsi="한컴바탕" w:cs="한컴바탕" w:hint="eastAsia"/>
                <w:szCs w:val="21"/>
                <w:lang w:eastAsia="ko-KR"/>
              </w:rPr>
              <w:t>국가세무총국공고 2015년 제82호</w:t>
            </w:r>
          </w:p>
          <w:p w:rsidR="00315BCC" w:rsidRPr="00315BCC" w:rsidRDefault="00315BCC" w:rsidP="00315BCC">
            <w:pPr>
              <w:wordWrap w:val="0"/>
              <w:autoSpaceDN w:val="0"/>
              <w:snapToGrid w:val="0"/>
              <w:spacing w:line="290" w:lineRule="atLeast"/>
              <w:ind w:firstLineChars="200" w:firstLine="388"/>
              <w:rPr>
                <w:rFonts w:ascii="한컴바탕" w:eastAsia="한컴바탕" w:hAnsi="한컴바탕" w:cs="한컴바탕"/>
                <w:spacing w:val="-8"/>
                <w:szCs w:val="21"/>
                <w:lang w:eastAsia="ko-KR"/>
              </w:rPr>
            </w:pPr>
          </w:p>
          <w:p w:rsidR="00315BCC" w:rsidRPr="00315BCC" w:rsidRDefault="00315BCC" w:rsidP="00315BCC">
            <w:pPr>
              <w:pStyle w:val="a4"/>
              <w:wordWrap w:val="0"/>
              <w:autoSpaceDN w:val="0"/>
              <w:snapToGrid w:val="0"/>
              <w:spacing w:line="290" w:lineRule="atLeast"/>
              <w:rPr>
                <w:rFonts w:ascii="한컴바탕" w:eastAsia="한컴바탕" w:hAnsi="한컴바탕" w:cs="한컴바탕"/>
                <w:szCs w:val="21"/>
                <w:lang w:eastAsia="ko-KR"/>
              </w:rPr>
            </w:pPr>
            <w:r w:rsidRPr="00315BCC">
              <w:rPr>
                <w:rFonts w:ascii="한컴바탕" w:eastAsia="한컴바탕" w:hAnsi="한컴바탕" w:cs="한컴바탕" w:hint="eastAsia"/>
                <w:szCs w:val="21"/>
                <w:lang w:eastAsia="ko-KR"/>
              </w:rPr>
              <w:t>&lt;중화인민공화국 기업소득세법&gt; 및 그 실시조례, &lt;국가자주혁신시범구의</w:t>
            </w:r>
            <w:r w:rsidRPr="00315BCC">
              <w:rPr>
                <w:rFonts w:ascii="한컴바탕" w:eastAsia="한컴바탕" w:hAnsi="한컴바탕" w:cs="한컴바탕"/>
                <w:szCs w:val="21"/>
                <w:lang w:eastAsia="ko-KR"/>
              </w:rPr>
              <w:t xml:space="preserve"> </w:t>
            </w:r>
            <w:r w:rsidRPr="00315BCC">
              <w:rPr>
                <w:rFonts w:ascii="한컴바탕" w:eastAsia="한컴바탕" w:hAnsi="한컴바탕" w:cs="한컴바탕" w:hint="eastAsia"/>
                <w:szCs w:val="21"/>
                <w:lang w:eastAsia="ko-KR"/>
              </w:rPr>
              <w:t>조세시범정책을</w:t>
            </w:r>
            <w:r w:rsidRPr="00315BCC">
              <w:rPr>
                <w:rFonts w:ascii="한컴바탕" w:eastAsia="한컴바탕" w:hAnsi="한컴바탕" w:cs="한컴바탕"/>
                <w:szCs w:val="21"/>
                <w:lang w:eastAsia="ko-KR"/>
              </w:rPr>
              <w:t xml:space="preserve"> </w:t>
            </w:r>
            <w:r w:rsidRPr="00315BCC">
              <w:rPr>
                <w:rFonts w:ascii="한컴바탕" w:eastAsia="한컴바탕" w:hAnsi="한컴바탕" w:cs="한컴바탕" w:hint="eastAsia"/>
                <w:szCs w:val="21"/>
                <w:lang w:eastAsia="ko-KR"/>
              </w:rPr>
              <w:t>전국에서</w:t>
            </w:r>
            <w:r w:rsidRPr="00315BCC">
              <w:rPr>
                <w:rFonts w:ascii="한컴바탕" w:eastAsia="한컴바탕" w:hAnsi="한컴바탕" w:cs="한컴바탕"/>
                <w:szCs w:val="21"/>
                <w:lang w:eastAsia="ko-KR"/>
              </w:rPr>
              <w:t xml:space="preserve"> </w:t>
            </w:r>
            <w:r w:rsidRPr="00315BCC">
              <w:rPr>
                <w:rFonts w:ascii="한컴바탕" w:eastAsia="한컴바탕" w:hAnsi="한컴바탕" w:cs="한컴바탕" w:hint="eastAsia"/>
                <w:szCs w:val="21"/>
                <w:lang w:eastAsia="ko-KR"/>
              </w:rPr>
              <w:t>확대실시할</w:t>
            </w:r>
            <w:r w:rsidRPr="00315BCC">
              <w:rPr>
                <w:rFonts w:ascii="한컴바탕" w:eastAsia="한컴바탕" w:hAnsi="한컴바탕" w:cs="한컴바탕"/>
                <w:szCs w:val="21"/>
                <w:lang w:eastAsia="ko-KR"/>
              </w:rPr>
              <w:t xml:space="preserve"> </w:t>
            </w:r>
            <w:r w:rsidRPr="00315BCC">
              <w:rPr>
                <w:rFonts w:ascii="한컴바탕" w:eastAsia="한컴바탕" w:hAnsi="한컴바탕" w:cs="한컴바탕" w:hint="eastAsia"/>
                <w:szCs w:val="21"/>
                <w:lang w:eastAsia="ko-KR"/>
              </w:rPr>
              <w:t>것에</w:t>
            </w:r>
            <w:r w:rsidRPr="00315BCC">
              <w:rPr>
                <w:rFonts w:ascii="한컴바탕" w:eastAsia="한컴바탕" w:hAnsi="한컴바탕" w:cs="한컴바탕"/>
                <w:szCs w:val="21"/>
                <w:lang w:eastAsia="ko-KR"/>
              </w:rPr>
              <w:t xml:space="preserve"> </w:t>
            </w:r>
            <w:r w:rsidRPr="00315BCC">
              <w:rPr>
                <w:rFonts w:ascii="한컴바탕" w:eastAsia="한컴바탕" w:hAnsi="한컴바탕" w:cs="한컴바탕" w:hint="eastAsia"/>
                <w:szCs w:val="21"/>
                <w:lang w:eastAsia="ko-KR"/>
              </w:rPr>
              <w:t>관한</w:t>
            </w:r>
            <w:r w:rsidRPr="00315BCC">
              <w:rPr>
                <w:rFonts w:ascii="한컴바탕" w:eastAsia="한컴바탕" w:hAnsi="한컴바탕" w:cs="한컴바탕"/>
                <w:szCs w:val="21"/>
                <w:lang w:eastAsia="ko-KR"/>
              </w:rPr>
              <w:t xml:space="preserve"> </w:t>
            </w:r>
            <w:r w:rsidRPr="00315BCC">
              <w:rPr>
                <w:rFonts w:ascii="한컴바탕" w:eastAsia="한컴바탕" w:hAnsi="한컴바탕" w:cs="한컴바탕" w:hint="eastAsia"/>
                <w:szCs w:val="21"/>
                <w:lang w:eastAsia="ko-KR"/>
              </w:rPr>
              <w:t>재정부·국가세무총국의</w:t>
            </w:r>
            <w:r w:rsidRPr="00315BCC">
              <w:rPr>
                <w:rFonts w:ascii="한컴바탕" w:eastAsia="한컴바탕" w:hAnsi="한컴바탕" w:cs="한컴바탕"/>
                <w:szCs w:val="21"/>
                <w:lang w:eastAsia="ko-KR"/>
              </w:rPr>
              <w:t xml:space="preserve"> </w:t>
            </w:r>
            <w:r w:rsidRPr="00315BCC">
              <w:rPr>
                <w:rFonts w:ascii="한컴바탕" w:eastAsia="한컴바탕" w:hAnsi="한컴바탕" w:cs="한컴바탕" w:hint="eastAsia"/>
                <w:szCs w:val="21"/>
                <w:lang w:eastAsia="ko-KR"/>
              </w:rPr>
              <w:t>통지&gt;</w:t>
            </w:r>
            <w:r w:rsidRPr="00315BCC">
              <w:rPr>
                <w:rFonts w:ascii="한컴바탕" w:eastAsia="한컴바탕" w:hAnsi="한컴바탕" w:cs="한컴바탕"/>
                <w:szCs w:val="21"/>
                <w:lang w:eastAsia="ko-KR"/>
              </w:rPr>
              <w:t>(</w:t>
            </w:r>
            <w:r w:rsidRPr="00315BCC">
              <w:rPr>
                <w:rFonts w:ascii="한컴바탕" w:eastAsia="한컴바탕" w:hAnsi="한컴바탕" w:cs="한컴바탕" w:hint="eastAsia"/>
                <w:szCs w:val="21"/>
                <w:lang w:eastAsia="ko-KR"/>
              </w:rPr>
              <w:t>재세[2015]116호</w:t>
            </w:r>
            <w:r w:rsidRPr="00315BCC">
              <w:rPr>
                <w:rFonts w:ascii="한컴바탕" w:eastAsia="한컴바탕" w:hAnsi="한컴바탕" w:cs="한컴바탕"/>
                <w:szCs w:val="21"/>
                <w:lang w:eastAsia="ko-KR"/>
              </w:rPr>
              <w:t>)</w:t>
            </w:r>
            <w:r w:rsidRPr="00315BCC">
              <w:rPr>
                <w:rFonts w:ascii="한컴바탕" w:eastAsia="한컴바탕" w:hAnsi="한컴바탕" w:cs="한컴바탕" w:hint="eastAsia"/>
                <w:szCs w:val="21"/>
                <w:lang w:eastAsia="ko-KR"/>
              </w:rPr>
              <w:t>의 규정에 근거하여 사용권 허가에 따른 기술양도소득의 기업소득세 관련 문제에 대하여 다음과 같이 공고한다.</w:t>
            </w:r>
          </w:p>
          <w:p w:rsidR="00315BCC" w:rsidRPr="00315BCC" w:rsidRDefault="00140993" w:rsidP="00315BCC">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315BCC" w:rsidRPr="00140993">
              <w:rPr>
                <w:rFonts w:ascii="한컴바탕" w:eastAsia="한컴바탕" w:hAnsi="한컴바탕" w:cs="한컴바탕" w:hint="eastAsia"/>
                <w:spacing w:val="-4"/>
                <w:szCs w:val="21"/>
                <w:lang w:eastAsia="ko-KR"/>
              </w:rPr>
              <w:t>2015년 10월 1일부터 전국 범위 내의 거주민기업이 5년 이상(5년 포함, 아래도 같음)의 비독점적 사용권 허가에 따라 취득하는 기술양도소득을 기업소득세 특혜를 누리는 기술양도소득 범위에 포함시킨다. 거주민기업의 연간 기술양도소득 중 500만위안을 초과하지 않는 부분은 기업소득세를 전액 면제하며; 500만위안을 초과하는 부분은 기업소득세를 50% 감면한다.</w:t>
            </w:r>
          </w:p>
          <w:p w:rsidR="00315BCC" w:rsidRPr="00140993" w:rsidRDefault="00315BCC" w:rsidP="00140993">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140993">
              <w:rPr>
                <w:rFonts w:ascii="한컴바탕" w:eastAsia="한컴바탕" w:hAnsi="한컴바탕" w:cs="한컴바탕" w:hint="eastAsia"/>
                <w:spacing w:val="-4"/>
                <w:szCs w:val="21"/>
                <w:lang w:eastAsia="ko-KR"/>
              </w:rPr>
              <w:t xml:space="preserve">기술이라 함은 특허(국방특허 포함), 컴퓨터 소프트웨어 저작권, 직접회로 배치설계권, 식물 신품종권, 생물의약 신품종권 및 재정부와 국가세무총국이 확정한 기타 기술을 포함한다. 그 중에서 특허라 함은 법률에 의해 독점권을 부여받은 발명, 실용신안 및 제품의 도안과 모양에 대한 단순한 변경이 아닌 외관디자인을 지칭한다.  </w:t>
            </w:r>
          </w:p>
          <w:p w:rsidR="00315BCC" w:rsidRPr="00140993" w:rsidRDefault="00140993" w:rsidP="00140993">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140993">
              <w:rPr>
                <w:rFonts w:ascii="한컴바탕" w:eastAsia="한컴바탕" w:hAnsi="한컴바탕" w:cs="한컴바탕" w:hint="eastAsia"/>
                <w:spacing w:val="-8"/>
                <w:szCs w:val="21"/>
                <w:lang w:eastAsia="ko-KR"/>
              </w:rPr>
              <w:t xml:space="preserve">2. </w:t>
            </w:r>
            <w:r w:rsidR="00315BCC" w:rsidRPr="00140993">
              <w:rPr>
                <w:rFonts w:ascii="한컴바탕" w:eastAsia="한컴바탕" w:hAnsi="한컴바탕" w:cs="한컴바탕" w:hint="eastAsia"/>
                <w:spacing w:val="-8"/>
                <w:szCs w:val="21"/>
                <w:lang w:eastAsia="ko-KR"/>
              </w:rPr>
              <w:t>기업이 5년 이상의 비독점적 사용권을 허가하는 조건에 부합되는 기술은 기업이 소유권을 보유한 기술에만 한한다. 기술 소유권의 권리귀속은 국무원 행정주관부서가 확정한다. 그 중에서, 특허의 권리귀속은 국가지적재산권국이 확정하고, 국방특허의 권리귀속은 총장비부가 확정하며, 컴퓨터 소프트웨어 저작권의 권리귀속은 국가판권국이 확정하고, 직접회로 배치설계권의 권리귀속은 국가지적재산권국이 확정하며, 식품 신품종권의 권리귀속은 농업부가 확정하고, 생물의약 신품종권의 권리귀속은 국가식품약품감독관리부서가 확정한다.</w:t>
            </w:r>
          </w:p>
          <w:p w:rsidR="00315BCC" w:rsidRPr="00315BCC" w:rsidRDefault="00140993" w:rsidP="00315BCC">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315BCC" w:rsidRPr="00315BCC">
              <w:rPr>
                <w:rFonts w:ascii="한컴바탕" w:eastAsia="한컴바탕" w:hAnsi="한컴바탕" w:cs="한컴바탕" w:hint="eastAsia"/>
                <w:szCs w:val="21"/>
                <w:lang w:eastAsia="ko-KR"/>
              </w:rPr>
              <w:t>조건에 부합되는 5년 이상의 비독점적 사용권 허가에 따른 기술양도소득은 다음 방식에 따라 산정한다.</w:t>
            </w:r>
          </w:p>
          <w:p w:rsidR="00315BCC" w:rsidRPr="00315BCC" w:rsidRDefault="00315BCC" w:rsidP="00315BCC">
            <w:pPr>
              <w:pStyle w:val="a4"/>
              <w:wordWrap w:val="0"/>
              <w:autoSpaceDN w:val="0"/>
              <w:snapToGrid w:val="0"/>
              <w:spacing w:line="290" w:lineRule="atLeast"/>
              <w:rPr>
                <w:rFonts w:ascii="한컴바탕" w:eastAsia="한컴바탕" w:hAnsi="한컴바탕" w:cs="한컴바탕"/>
                <w:szCs w:val="21"/>
                <w:lang w:eastAsia="ko-KR"/>
              </w:rPr>
            </w:pPr>
            <w:r w:rsidRPr="00315BCC">
              <w:rPr>
                <w:rFonts w:ascii="한컴바탕" w:eastAsia="한컴바탕" w:hAnsi="한컴바탕" w:cs="한컴바탕" w:hint="eastAsia"/>
                <w:szCs w:val="21"/>
                <w:lang w:eastAsia="ko-KR"/>
              </w:rPr>
              <w:t>기술양도소득 = 기술양도수입 - 무형자산 상각비 - 관련 세금·비용 - 배부 기간비용</w:t>
            </w:r>
          </w:p>
          <w:p w:rsidR="00315BCC" w:rsidRPr="00140993" w:rsidRDefault="00315BCC" w:rsidP="00315BCC">
            <w:pPr>
              <w:pStyle w:val="a4"/>
              <w:wordWrap w:val="0"/>
              <w:autoSpaceDN w:val="0"/>
              <w:snapToGrid w:val="0"/>
              <w:spacing w:line="290" w:lineRule="atLeast"/>
              <w:rPr>
                <w:rFonts w:ascii="한컴바탕" w:eastAsia="한컴바탕" w:hAnsi="한컴바탕" w:cs="한컴바탕"/>
                <w:spacing w:val="-8"/>
                <w:szCs w:val="21"/>
                <w:lang w:eastAsia="ko-KR"/>
              </w:rPr>
            </w:pPr>
            <w:r w:rsidRPr="00315BCC">
              <w:rPr>
                <w:rFonts w:ascii="한컴바탕" w:eastAsia="한컴바탕" w:hAnsi="한컴바탕" w:cs="한컴바탕" w:hint="eastAsia"/>
                <w:szCs w:val="21"/>
                <w:lang w:eastAsia="ko-KR"/>
              </w:rPr>
              <w:t>기</w:t>
            </w:r>
            <w:r w:rsidRPr="00140993">
              <w:rPr>
                <w:rFonts w:ascii="한컴바탕" w:eastAsia="한컴바탕" w:hAnsi="한컴바탕" w:cs="한컴바탕" w:hint="eastAsia"/>
                <w:spacing w:val="-8"/>
                <w:szCs w:val="21"/>
                <w:lang w:eastAsia="ko-KR"/>
              </w:rPr>
              <w:t xml:space="preserve">술양도소득이라 함은 양도인이 기술이전계약을 이행하는 대가로 취득하는 대금을 지칭하며 </w:t>
            </w:r>
            <w:r w:rsidRPr="00140993">
              <w:rPr>
                <w:rFonts w:ascii="한컴바탕" w:eastAsia="한컴바탕" w:hAnsi="한컴바탕" w:cs="한컴바탕" w:hint="eastAsia"/>
                <w:spacing w:val="-8"/>
                <w:szCs w:val="21"/>
                <w:lang w:eastAsia="ko-KR"/>
              </w:rPr>
              <w:lastRenderedPageBreak/>
              <w:t>설비·기기·부품·원재료 등의 양도에 따르는 비(非)기술 성격의 소득은 포함하지 아니한다. 기술양도 프로젝트의 불가분한 항목이 아닌 기술자문, 서비스, 교육 등에 따르는 수입을 기술양도소득에 산입하여서는 아니된다. 기술사용권 허가에 따르는 기술양도소득은 사용권을 부여받는 자가 기술이전계약서의 약정에 따라 기술 사용료를 지급해야 하는 일자에 그 소득이 실현되는 것으로 확인한다.</w:t>
            </w:r>
          </w:p>
          <w:p w:rsidR="00315BCC" w:rsidRPr="00140993" w:rsidRDefault="00315BCC" w:rsidP="00140993">
            <w:pPr>
              <w:pStyle w:val="a4"/>
              <w:wordWrap w:val="0"/>
              <w:autoSpaceDN w:val="0"/>
              <w:snapToGrid w:val="0"/>
              <w:spacing w:line="290" w:lineRule="atLeast"/>
              <w:ind w:firstLine="372"/>
              <w:rPr>
                <w:rFonts w:ascii="한컴바탕" w:eastAsia="한컴바탕" w:hAnsi="한컴바탕" w:cs="한컴바탕"/>
                <w:spacing w:val="-12"/>
                <w:szCs w:val="21"/>
                <w:lang w:eastAsia="ko-KR"/>
              </w:rPr>
            </w:pPr>
            <w:r w:rsidRPr="00140993">
              <w:rPr>
                <w:rFonts w:ascii="한컴바탕" w:eastAsia="한컴바탕" w:hAnsi="한컴바탕" w:cs="한컴바탕" w:hint="eastAsia"/>
                <w:spacing w:val="-12"/>
                <w:szCs w:val="21"/>
                <w:lang w:eastAsia="ko-KR"/>
              </w:rPr>
              <w:t>무형자산 상각비라 함은 세법 규정에 따라 공제하는 당해 무형자산 가치의 당해연도 감소분을 지칭한다. 자사사용 및 제3자에 대한 사용 허가와 연관된 경우 수익 원칙에 따라 합리적으로 구분하여야 한다.</w:t>
            </w:r>
          </w:p>
          <w:p w:rsidR="00315BCC" w:rsidRPr="00140993" w:rsidRDefault="00315BCC" w:rsidP="00140993">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140993">
              <w:rPr>
                <w:rFonts w:ascii="한컴바탕" w:eastAsia="한컴바탕" w:hAnsi="한컴바탕" w:cs="한컴바탕" w:hint="eastAsia"/>
                <w:spacing w:val="-4"/>
                <w:szCs w:val="21"/>
                <w:lang w:eastAsia="ko-KR"/>
              </w:rPr>
              <w:t>관련 세금·비용이라 함은 기술을 양도하는 과정에서 실제로 발생하는 관련 세금과 비용을 지칭하며 기업소득세 및 공제가 허용된 증치세를 제외한 각 항목의 세금 및 그 부가금, 계약체결 비용, 변호사 비용 등 관련 비용을 포함한다.</w:t>
            </w:r>
          </w:p>
          <w:p w:rsidR="00315BCC" w:rsidRPr="00315BCC" w:rsidRDefault="00315BCC" w:rsidP="00315BCC">
            <w:pPr>
              <w:pStyle w:val="a4"/>
              <w:wordWrap w:val="0"/>
              <w:autoSpaceDN w:val="0"/>
              <w:snapToGrid w:val="0"/>
              <w:spacing w:line="290" w:lineRule="atLeast"/>
              <w:rPr>
                <w:rFonts w:ascii="한컴바탕" w:eastAsia="한컴바탕" w:hAnsi="한컴바탕" w:cs="한컴바탕"/>
                <w:szCs w:val="21"/>
                <w:lang w:eastAsia="ko-KR"/>
              </w:rPr>
            </w:pPr>
            <w:r w:rsidRPr="00315BCC">
              <w:rPr>
                <w:rFonts w:ascii="한컴바탕" w:eastAsia="한컴바탕" w:hAnsi="한컴바탕" w:cs="한컴바탕" w:hint="eastAsia"/>
                <w:szCs w:val="21"/>
                <w:lang w:eastAsia="ko-KR"/>
              </w:rPr>
              <w:t xml:space="preserve">배부 기간비용(무형자산 상각비와 기타 세금·비용 제외)이라 함은 기술 이전에 있어 당해 연도 매출수익이 차지하는 비율에 따라 할당하는 기간비용을 지칭한다. </w:t>
            </w:r>
          </w:p>
          <w:p w:rsidR="00315BCC" w:rsidRPr="00315BCC" w:rsidRDefault="00140993" w:rsidP="00315BCC">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315BCC" w:rsidRPr="00315BCC">
              <w:rPr>
                <w:rFonts w:ascii="한컴바탕" w:eastAsia="한컴바탕" w:hAnsi="한컴바탕" w:cs="한컴바탕" w:hint="eastAsia"/>
                <w:szCs w:val="21"/>
                <w:lang w:eastAsia="ko-KR"/>
              </w:rPr>
              <w:t>기술양도소득의 기업소득세 특혜와 관련된 기타 문제는 &lt;기술양도소득의 기업소득세 감면 관련 문제에 대한 국가세무총국의 통지&gt;(국세함[2009]212호), &lt;거주민기업의 기술양도 관련 기업소득세 정책 문제에 대한 재정부·국가세무총국의 통지&gt;(재세[2010]111호), &lt;기술양도소득의 기업소득세 감면 관련 문제에 대한 국가세무총국의 공고&gt;(국가세무총국공고 2013년 제62호)의 규정에 따라 집행한다.</w:t>
            </w:r>
          </w:p>
          <w:p w:rsidR="00315BCC" w:rsidRPr="00315BCC" w:rsidRDefault="00140993" w:rsidP="00315BCC">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315BCC" w:rsidRPr="00315BCC">
              <w:rPr>
                <w:rFonts w:ascii="한컴바탕" w:eastAsia="한컴바탕" w:hAnsi="한컴바탕" w:cs="한컴바탕" w:hint="eastAsia"/>
                <w:szCs w:val="21"/>
                <w:lang w:eastAsia="ko-KR"/>
              </w:rPr>
              <w:t>이 공고는 2015년 10월 1일부터 시행한다. 이 공고 시행일로부터 기업이 5년 이상의 비독점적 사용권을 허가함에 따라 확인된 기술양도소득은 이 공고에 따라 집행한다.</w:t>
            </w:r>
          </w:p>
          <w:p w:rsidR="00315BCC" w:rsidRPr="00315BCC" w:rsidRDefault="00315BCC" w:rsidP="00315BCC">
            <w:pPr>
              <w:pStyle w:val="a4"/>
              <w:wordWrap w:val="0"/>
              <w:autoSpaceDN w:val="0"/>
              <w:snapToGrid w:val="0"/>
              <w:spacing w:line="290" w:lineRule="atLeast"/>
              <w:rPr>
                <w:rFonts w:ascii="한컴바탕" w:eastAsia="한컴바탕" w:hAnsi="한컴바탕" w:cs="한컴바탕"/>
                <w:szCs w:val="21"/>
                <w:lang w:eastAsia="ko-KR"/>
              </w:rPr>
            </w:pPr>
            <w:r w:rsidRPr="00315BCC">
              <w:rPr>
                <w:rFonts w:ascii="한컴바탕" w:eastAsia="한컴바탕" w:hAnsi="한컴바탕" w:cs="한컴바탕" w:hint="eastAsia"/>
                <w:szCs w:val="21"/>
                <w:lang w:eastAsia="ko-KR"/>
              </w:rPr>
              <w:t xml:space="preserve">위와 같이 특별히 공고한다. </w:t>
            </w:r>
          </w:p>
          <w:p w:rsidR="00315BCC" w:rsidRPr="00315BCC" w:rsidRDefault="00315BCC" w:rsidP="00315BCC">
            <w:pPr>
              <w:pStyle w:val="a4"/>
              <w:wordWrap w:val="0"/>
              <w:autoSpaceDN w:val="0"/>
              <w:snapToGrid w:val="0"/>
              <w:spacing w:line="290" w:lineRule="atLeast"/>
              <w:rPr>
                <w:rFonts w:ascii="한컴바탕" w:eastAsia="한컴바탕" w:hAnsi="한컴바탕" w:cs="한컴바탕"/>
                <w:szCs w:val="21"/>
                <w:lang w:eastAsia="ko-KR"/>
              </w:rPr>
            </w:pPr>
          </w:p>
          <w:p w:rsidR="00315BCC" w:rsidRPr="00315BCC" w:rsidRDefault="00315BCC" w:rsidP="00315BCC">
            <w:pPr>
              <w:pStyle w:val="a4"/>
              <w:wordWrap w:val="0"/>
              <w:autoSpaceDN w:val="0"/>
              <w:snapToGrid w:val="0"/>
              <w:spacing w:line="290" w:lineRule="atLeast"/>
              <w:jc w:val="right"/>
              <w:rPr>
                <w:rFonts w:ascii="한컴바탕" w:eastAsia="한컴바탕" w:hAnsi="한컴바탕" w:cs="한컴바탕"/>
                <w:szCs w:val="21"/>
                <w:lang w:eastAsia="ko-KR"/>
              </w:rPr>
            </w:pPr>
          </w:p>
          <w:p w:rsidR="00315BCC" w:rsidRPr="00315BCC" w:rsidRDefault="00315BCC" w:rsidP="00315BCC">
            <w:pPr>
              <w:pStyle w:val="a4"/>
              <w:wordWrap w:val="0"/>
              <w:autoSpaceDN w:val="0"/>
              <w:snapToGrid w:val="0"/>
              <w:spacing w:line="290" w:lineRule="atLeast"/>
              <w:jc w:val="right"/>
              <w:rPr>
                <w:rFonts w:ascii="한컴바탕" w:eastAsia="한컴바탕" w:hAnsi="한컴바탕" w:cs="한컴바탕"/>
                <w:szCs w:val="21"/>
                <w:lang w:eastAsia="ko-KR"/>
              </w:rPr>
            </w:pPr>
            <w:r w:rsidRPr="00315BCC">
              <w:rPr>
                <w:rFonts w:ascii="한컴바탕" w:eastAsia="한컴바탕" w:hAnsi="한컴바탕" w:cs="한컴바탕" w:hint="eastAsia"/>
                <w:szCs w:val="21"/>
                <w:lang w:eastAsia="ko-KR"/>
              </w:rPr>
              <w:t>국가세무총국</w:t>
            </w:r>
          </w:p>
          <w:p w:rsidR="00315BCC" w:rsidRPr="00315BCC" w:rsidRDefault="00315BCC" w:rsidP="00315BCC">
            <w:pPr>
              <w:pStyle w:val="a4"/>
              <w:wordWrap w:val="0"/>
              <w:autoSpaceDN w:val="0"/>
              <w:snapToGrid w:val="0"/>
              <w:spacing w:line="290" w:lineRule="atLeast"/>
              <w:jc w:val="right"/>
              <w:rPr>
                <w:rFonts w:ascii="한컴바탕" w:eastAsia="한컴바탕" w:hAnsi="한컴바탕" w:cs="한컴바탕"/>
                <w:szCs w:val="21"/>
                <w:lang w:eastAsia="ko-KR"/>
              </w:rPr>
            </w:pPr>
            <w:r w:rsidRPr="00315BCC">
              <w:rPr>
                <w:rFonts w:ascii="한컴바탕" w:eastAsia="한컴바탕" w:hAnsi="한컴바탕" w:cs="한컴바탕" w:hint="eastAsia"/>
                <w:szCs w:val="21"/>
                <w:lang w:eastAsia="ko-KR"/>
              </w:rPr>
              <w:t>2015년 11월 16일</w:t>
            </w:r>
          </w:p>
          <w:p w:rsidR="00DB5008" w:rsidRPr="00DB5008" w:rsidRDefault="00DB5008" w:rsidP="00587FEA">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40993" w:rsidRPr="00140993" w:rsidRDefault="00140993" w:rsidP="00140993">
            <w:pPr>
              <w:wordWrap w:val="0"/>
              <w:autoSpaceDE w:val="0"/>
              <w:autoSpaceDN w:val="0"/>
              <w:snapToGrid w:val="0"/>
              <w:spacing w:line="290" w:lineRule="atLeast"/>
              <w:jc w:val="center"/>
              <w:rPr>
                <w:rFonts w:ascii="SimSun" w:eastAsia="SimSun" w:hAnsi="SimSun"/>
                <w:b/>
                <w:sz w:val="26"/>
                <w:szCs w:val="26"/>
              </w:rPr>
            </w:pPr>
            <w:r w:rsidRPr="00140993">
              <w:rPr>
                <w:rFonts w:ascii="SimSun" w:eastAsia="SimSun" w:hAnsi="SimSun" w:hint="eastAsia"/>
                <w:b/>
                <w:sz w:val="26"/>
                <w:szCs w:val="26"/>
              </w:rPr>
              <w:t>国家税务总局</w:t>
            </w:r>
          </w:p>
          <w:p w:rsidR="00140993" w:rsidRPr="00140993" w:rsidRDefault="00140993" w:rsidP="00140993">
            <w:pPr>
              <w:wordWrap w:val="0"/>
              <w:autoSpaceDE w:val="0"/>
              <w:autoSpaceDN w:val="0"/>
              <w:snapToGrid w:val="0"/>
              <w:spacing w:line="290" w:lineRule="atLeast"/>
              <w:jc w:val="center"/>
              <w:rPr>
                <w:rFonts w:ascii="SimSun" w:eastAsia="SimSun" w:hAnsi="SimSun"/>
                <w:b/>
                <w:sz w:val="26"/>
                <w:szCs w:val="26"/>
              </w:rPr>
            </w:pPr>
            <w:r w:rsidRPr="00140993">
              <w:rPr>
                <w:rFonts w:ascii="SimSun" w:eastAsia="SimSun" w:hAnsi="SimSun" w:hint="eastAsia"/>
                <w:b/>
                <w:sz w:val="26"/>
                <w:szCs w:val="26"/>
              </w:rPr>
              <w:t>关于许可使用权技术转让所得企业所得税有关问题的公告</w:t>
            </w:r>
          </w:p>
          <w:p w:rsidR="00140993" w:rsidRPr="00140993" w:rsidRDefault="00140993" w:rsidP="00140993">
            <w:pPr>
              <w:wordWrap w:val="0"/>
              <w:autoSpaceDE w:val="0"/>
              <w:autoSpaceDN w:val="0"/>
              <w:snapToGrid w:val="0"/>
              <w:spacing w:line="290" w:lineRule="atLeast"/>
              <w:ind w:firstLineChars="200" w:firstLine="420"/>
              <w:rPr>
                <w:rFonts w:ascii="SimSun" w:eastAsia="SimSun" w:hAnsi="SimSun"/>
                <w:szCs w:val="21"/>
              </w:rPr>
            </w:pPr>
            <w:r w:rsidRPr="00140993">
              <w:rPr>
                <w:rFonts w:ascii="SimSun" w:eastAsia="SimSun" w:hAnsi="SimSun" w:hint="eastAsia"/>
                <w:szCs w:val="21"/>
              </w:rPr>
              <w:t>国家税务总局公告2015年第82号</w:t>
            </w:r>
          </w:p>
          <w:p w:rsidR="00140993" w:rsidRPr="00140993" w:rsidRDefault="00140993" w:rsidP="00140993">
            <w:pPr>
              <w:wordWrap w:val="0"/>
              <w:autoSpaceDE w:val="0"/>
              <w:autoSpaceDN w:val="0"/>
              <w:snapToGrid w:val="0"/>
              <w:spacing w:line="290" w:lineRule="atLeast"/>
              <w:ind w:firstLineChars="200" w:firstLine="420"/>
              <w:rPr>
                <w:rFonts w:ascii="SimSun" w:eastAsia="SimSun" w:hAnsi="SimSun"/>
                <w:szCs w:val="21"/>
              </w:rPr>
            </w:pPr>
          </w:p>
          <w:p w:rsidR="00140993" w:rsidRPr="00140993" w:rsidRDefault="00140993" w:rsidP="00140993">
            <w:pPr>
              <w:wordWrap w:val="0"/>
              <w:autoSpaceDE w:val="0"/>
              <w:autoSpaceDN w:val="0"/>
              <w:snapToGrid w:val="0"/>
              <w:spacing w:line="290" w:lineRule="atLeast"/>
              <w:ind w:firstLineChars="200" w:firstLine="420"/>
              <w:rPr>
                <w:rFonts w:ascii="SimSun" w:eastAsia="SimSun" w:hAnsi="SimSun"/>
                <w:szCs w:val="21"/>
              </w:rPr>
            </w:pPr>
            <w:r w:rsidRPr="00140993">
              <w:rPr>
                <w:rFonts w:ascii="SimSun" w:eastAsia="SimSun" w:hAnsi="SimSun" w:hint="eastAsia"/>
                <w:szCs w:val="21"/>
              </w:rPr>
              <w:t>根据《中华人民共和国企业所得税法》及其实施条例、《财政部 国家税务总局关于将国家自主创新示范区有关税收试点政策推广到全国范围实施的通知》（财税〔2015〕116号）规定，现就许可使用权技术转让所得企业所得税有关问题公告如下：</w:t>
            </w:r>
          </w:p>
          <w:p w:rsidR="00140993" w:rsidRPr="00140993" w:rsidRDefault="00140993" w:rsidP="00140993">
            <w:pPr>
              <w:wordWrap w:val="0"/>
              <w:autoSpaceDE w:val="0"/>
              <w:autoSpaceDN w:val="0"/>
              <w:snapToGrid w:val="0"/>
              <w:spacing w:line="290" w:lineRule="atLeast"/>
              <w:ind w:firstLineChars="200" w:firstLine="420"/>
              <w:rPr>
                <w:rFonts w:ascii="SimSun" w:eastAsia="SimSun" w:hAnsi="SimSun"/>
                <w:szCs w:val="21"/>
              </w:rPr>
            </w:pPr>
            <w:r w:rsidRPr="00140993">
              <w:rPr>
                <w:rFonts w:ascii="SimSun" w:eastAsia="SimSun" w:hAnsi="SimSun" w:hint="eastAsia"/>
                <w:szCs w:val="21"/>
              </w:rPr>
              <w:t xml:space="preserve"> 一、自2015年10月1日起，全国范围内的居民企业转让5年（含，下同）以上非独占许可使用权取得的技术转让所得，纳入享受企业所得税优惠的技术转让所得范围。居民企业的年度技术转让所得不超过500万元的部分，免征企业所得税；超过500万元的部分，减半征收企业所得税。</w:t>
            </w:r>
          </w:p>
          <w:p w:rsidR="00140993" w:rsidRPr="00140993" w:rsidRDefault="00140993" w:rsidP="00140993">
            <w:pPr>
              <w:wordWrap w:val="0"/>
              <w:autoSpaceDE w:val="0"/>
              <w:autoSpaceDN w:val="0"/>
              <w:snapToGrid w:val="0"/>
              <w:spacing w:line="290" w:lineRule="atLeast"/>
              <w:ind w:firstLineChars="200" w:firstLine="420"/>
              <w:rPr>
                <w:rFonts w:ascii="SimSun" w:eastAsia="SimSun" w:hAnsi="SimSun"/>
                <w:szCs w:val="21"/>
              </w:rPr>
            </w:pPr>
            <w:r w:rsidRPr="00140993">
              <w:rPr>
                <w:rFonts w:ascii="SimSun" w:eastAsia="SimSun" w:hAnsi="SimSun" w:hint="eastAsia"/>
                <w:szCs w:val="21"/>
              </w:rPr>
              <w:t>所称技术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p>
          <w:p w:rsidR="00140993" w:rsidRPr="00140993" w:rsidRDefault="00140993" w:rsidP="00140993">
            <w:pPr>
              <w:wordWrap w:val="0"/>
              <w:autoSpaceDE w:val="0"/>
              <w:autoSpaceDN w:val="0"/>
              <w:snapToGrid w:val="0"/>
              <w:spacing w:line="290" w:lineRule="atLeast"/>
              <w:ind w:firstLineChars="200" w:firstLine="420"/>
              <w:rPr>
                <w:rFonts w:ascii="SimSun" w:eastAsia="SimSun" w:hAnsi="SimSun"/>
                <w:szCs w:val="21"/>
              </w:rPr>
            </w:pPr>
            <w:r w:rsidRPr="00140993">
              <w:rPr>
                <w:rFonts w:ascii="SimSun" w:eastAsia="SimSun" w:hAnsi="SimSun" w:hint="eastAsia"/>
                <w:szCs w:val="21"/>
              </w:rPr>
              <w:t>二、企业转让符合条件的5年以上非独占许可使用权的技术，限于其拥有所有权的技术。技术所有权的权属由国务院行政主管部门确定。其中，专利由国家知识产权局确定权属；国防专利由总装备部确定权属；计算机软件著作权由国家版权局确定权属；集成电路布图设计专有权由国家知识产权局确定权属；植物新品种权由农业部确定权属；生物医药新品种由国家食品药品监督管理总局确定权属。</w:t>
            </w:r>
          </w:p>
          <w:p w:rsidR="00140993" w:rsidRPr="00140993" w:rsidRDefault="00140993" w:rsidP="00140993">
            <w:pPr>
              <w:wordWrap w:val="0"/>
              <w:autoSpaceDE w:val="0"/>
              <w:autoSpaceDN w:val="0"/>
              <w:snapToGrid w:val="0"/>
              <w:spacing w:line="290" w:lineRule="atLeast"/>
              <w:ind w:firstLineChars="200" w:firstLine="420"/>
              <w:rPr>
                <w:rFonts w:ascii="SimSun" w:eastAsia="SimSun" w:hAnsi="SimSun"/>
                <w:szCs w:val="21"/>
              </w:rPr>
            </w:pPr>
            <w:r w:rsidRPr="00140993">
              <w:rPr>
                <w:rFonts w:ascii="SimSun" w:eastAsia="SimSun" w:hAnsi="SimSun" w:hint="eastAsia"/>
                <w:szCs w:val="21"/>
              </w:rPr>
              <w:t>三、符合条件的5年以上非独占许可使用权技术转让所得应按以下方法计算：</w:t>
            </w:r>
          </w:p>
          <w:p w:rsidR="00140993" w:rsidRPr="00140993" w:rsidRDefault="00140993" w:rsidP="00140993">
            <w:pPr>
              <w:wordWrap w:val="0"/>
              <w:autoSpaceDE w:val="0"/>
              <w:autoSpaceDN w:val="0"/>
              <w:snapToGrid w:val="0"/>
              <w:spacing w:line="290" w:lineRule="atLeast"/>
              <w:ind w:firstLineChars="200" w:firstLine="404"/>
              <w:rPr>
                <w:rFonts w:ascii="SimSun" w:eastAsia="SimSun" w:hAnsi="SimSun"/>
                <w:spacing w:val="-4"/>
                <w:szCs w:val="21"/>
              </w:rPr>
            </w:pPr>
            <w:r w:rsidRPr="00140993">
              <w:rPr>
                <w:rFonts w:ascii="SimSun" w:eastAsia="SimSun" w:hAnsi="SimSun" w:hint="eastAsia"/>
                <w:spacing w:val="-4"/>
                <w:szCs w:val="21"/>
              </w:rPr>
              <w:t>技术转让所得=技术转让收入-无形资产摊销费用-相关税费-应分摊期间费用</w:t>
            </w:r>
          </w:p>
          <w:p w:rsidR="00140993" w:rsidRPr="00140993" w:rsidRDefault="00140993" w:rsidP="00140993">
            <w:pPr>
              <w:wordWrap w:val="0"/>
              <w:autoSpaceDE w:val="0"/>
              <w:autoSpaceDN w:val="0"/>
              <w:snapToGrid w:val="0"/>
              <w:spacing w:line="290" w:lineRule="atLeast"/>
              <w:ind w:firstLineChars="200" w:firstLine="460"/>
              <w:rPr>
                <w:rFonts w:ascii="SimSun" w:eastAsia="SimSun" w:hAnsi="SimSun"/>
                <w:spacing w:val="10"/>
                <w:szCs w:val="21"/>
              </w:rPr>
            </w:pPr>
            <w:r w:rsidRPr="00140993">
              <w:rPr>
                <w:rFonts w:ascii="SimSun" w:eastAsia="SimSun" w:hAnsi="SimSun" w:hint="eastAsia"/>
                <w:spacing w:val="10"/>
                <w:szCs w:val="21"/>
              </w:rPr>
              <w:t>技术转让收入是指转让方履行技术转让合同后获得的价款，不包括销</w:t>
            </w:r>
            <w:r w:rsidRPr="00140993">
              <w:rPr>
                <w:rFonts w:ascii="SimSun" w:eastAsia="SimSun" w:hAnsi="SimSun" w:hint="eastAsia"/>
                <w:spacing w:val="10"/>
                <w:szCs w:val="21"/>
              </w:rPr>
              <w:lastRenderedPageBreak/>
              <w:t>售或转让设备、仪器、零部件、原材料等非技术性收入。不属于与技术转让项目密不可分的技术咨询、服务、培训等收入，不得计入技术转让收入。技术许可使用权转让收入，应按转让协议约定的许可使用权人应付许可使用权使用费的日期确认收入的实现。</w:t>
            </w:r>
          </w:p>
          <w:p w:rsidR="00140993" w:rsidRPr="00140993" w:rsidRDefault="00140993" w:rsidP="00140993">
            <w:pPr>
              <w:wordWrap w:val="0"/>
              <w:autoSpaceDE w:val="0"/>
              <w:autoSpaceDN w:val="0"/>
              <w:snapToGrid w:val="0"/>
              <w:spacing w:line="290" w:lineRule="atLeast"/>
              <w:ind w:firstLineChars="200" w:firstLine="420"/>
              <w:rPr>
                <w:rFonts w:ascii="SimSun" w:eastAsia="SimSun" w:hAnsi="SimSun"/>
                <w:szCs w:val="21"/>
              </w:rPr>
            </w:pPr>
            <w:r w:rsidRPr="00140993">
              <w:rPr>
                <w:rFonts w:ascii="SimSun" w:eastAsia="SimSun" w:hAnsi="SimSun" w:hint="eastAsia"/>
                <w:szCs w:val="21"/>
              </w:rPr>
              <w:t>无形资产摊销费用是指该无形资产按税法规定当年计算摊销的费用。涉及自用和对外许可使用的，应按照受益原则合理划分。</w:t>
            </w:r>
          </w:p>
          <w:p w:rsidR="00140993" w:rsidRPr="00140993" w:rsidRDefault="00140993" w:rsidP="00140993">
            <w:pPr>
              <w:wordWrap w:val="0"/>
              <w:autoSpaceDE w:val="0"/>
              <w:autoSpaceDN w:val="0"/>
              <w:snapToGrid w:val="0"/>
              <w:spacing w:line="290" w:lineRule="atLeast"/>
              <w:ind w:firstLineChars="200" w:firstLine="420"/>
              <w:rPr>
                <w:rFonts w:ascii="SimSun" w:eastAsia="SimSun" w:hAnsi="SimSun"/>
                <w:szCs w:val="21"/>
              </w:rPr>
            </w:pPr>
            <w:r w:rsidRPr="00140993">
              <w:rPr>
                <w:rFonts w:ascii="SimSun" w:eastAsia="SimSun" w:hAnsi="SimSun" w:hint="eastAsia"/>
                <w:szCs w:val="21"/>
              </w:rPr>
              <w:t>相关税费是指技术转让过程中实际发生的有关税费，包括除企业所得税和允许抵扣的增值税以外的各项税金及其附加、合同签订费用、律师费等相关费用。</w:t>
            </w:r>
          </w:p>
          <w:p w:rsidR="00140993" w:rsidRPr="00140993" w:rsidRDefault="00140993" w:rsidP="00140993">
            <w:pPr>
              <w:wordWrap w:val="0"/>
              <w:autoSpaceDE w:val="0"/>
              <w:autoSpaceDN w:val="0"/>
              <w:snapToGrid w:val="0"/>
              <w:spacing w:line="290" w:lineRule="atLeast"/>
              <w:ind w:firstLineChars="200" w:firstLine="452"/>
              <w:rPr>
                <w:rFonts w:ascii="SimSun" w:eastAsia="SimSun" w:hAnsi="SimSun"/>
                <w:spacing w:val="8"/>
                <w:szCs w:val="21"/>
              </w:rPr>
            </w:pPr>
            <w:r w:rsidRPr="00140993">
              <w:rPr>
                <w:rFonts w:ascii="SimSun" w:eastAsia="SimSun" w:hAnsi="SimSun" w:hint="eastAsia"/>
                <w:spacing w:val="8"/>
                <w:szCs w:val="21"/>
              </w:rPr>
              <w:t>应分摊期间费用（不含无形资产摊销费用和相关税费）是指技术转让按照当年销售收入占比分摊的期间费用。</w:t>
            </w:r>
          </w:p>
          <w:p w:rsidR="00140993" w:rsidRPr="00140993" w:rsidRDefault="00140993" w:rsidP="00140993">
            <w:pPr>
              <w:wordWrap w:val="0"/>
              <w:autoSpaceDE w:val="0"/>
              <w:autoSpaceDN w:val="0"/>
              <w:snapToGrid w:val="0"/>
              <w:spacing w:line="290" w:lineRule="atLeast"/>
              <w:ind w:firstLineChars="200" w:firstLine="412"/>
              <w:rPr>
                <w:rFonts w:ascii="SimSun" w:eastAsia="SimSun" w:hAnsi="SimSun"/>
                <w:spacing w:val="-2"/>
                <w:szCs w:val="21"/>
              </w:rPr>
            </w:pPr>
            <w:r w:rsidRPr="00140993">
              <w:rPr>
                <w:rFonts w:ascii="SimSun" w:eastAsia="SimSun" w:hAnsi="SimSun" w:hint="eastAsia"/>
                <w:spacing w:val="-2"/>
                <w:szCs w:val="21"/>
              </w:rPr>
              <w:t>四、企业享受技术转让所得企业所得税优惠的其他相关问题，仍按照《国家税务总局关于技术转让所得减免企业所得税有关问题的通知》（国税函〔2009〕212号）、《财政部 国家税务总局关于居民企业技术转让有关企业所得税政策问题的通知》（财税〔2010〕111号）、《国家税务总局关于技术转让所得减免企业所得税有关问题的公告》（国家税务总局公告2013年第62号）规定执行。</w:t>
            </w:r>
          </w:p>
          <w:p w:rsidR="00140993" w:rsidRPr="00140993" w:rsidRDefault="00140993" w:rsidP="00140993">
            <w:pPr>
              <w:wordWrap w:val="0"/>
              <w:autoSpaceDE w:val="0"/>
              <w:autoSpaceDN w:val="0"/>
              <w:snapToGrid w:val="0"/>
              <w:spacing w:line="290" w:lineRule="atLeast"/>
              <w:ind w:firstLineChars="200" w:firstLine="420"/>
              <w:rPr>
                <w:rFonts w:ascii="SimSun" w:eastAsia="SimSun" w:hAnsi="SimSun"/>
                <w:szCs w:val="21"/>
              </w:rPr>
            </w:pPr>
            <w:r w:rsidRPr="00140993">
              <w:rPr>
                <w:rFonts w:ascii="SimSun" w:eastAsia="SimSun" w:hAnsi="SimSun" w:hint="eastAsia"/>
                <w:szCs w:val="21"/>
              </w:rPr>
              <w:t>五、本公告自2015年10月1日起施行。本公告实施之日起，企业转让5年以上非独占许可使用权确认的技术转让收入，按本公告执行。</w:t>
            </w:r>
          </w:p>
          <w:p w:rsidR="00140993" w:rsidRPr="00140993" w:rsidRDefault="00140993" w:rsidP="00140993">
            <w:pPr>
              <w:wordWrap w:val="0"/>
              <w:autoSpaceDE w:val="0"/>
              <w:autoSpaceDN w:val="0"/>
              <w:snapToGrid w:val="0"/>
              <w:spacing w:line="290" w:lineRule="atLeast"/>
              <w:ind w:firstLineChars="200" w:firstLine="420"/>
              <w:rPr>
                <w:rFonts w:ascii="SimSun" w:eastAsia="SimSun" w:hAnsi="SimSun"/>
                <w:szCs w:val="21"/>
              </w:rPr>
            </w:pPr>
            <w:r w:rsidRPr="00140993">
              <w:rPr>
                <w:rFonts w:ascii="SimSun" w:eastAsia="SimSun" w:hAnsi="SimSun" w:hint="eastAsia"/>
                <w:szCs w:val="21"/>
              </w:rPr>
              <w:t xml:space="preserve">特此公告。 </w:t>
            </w:r>
          </w:p>
          <w:p w:rsidR="00140993" w:rsidRPr="00140993" w:rsidRDefault="00140993" w:rsidP="00140993">
            <w:pPr>
              <w:wordWrap w:val="0"/>
              <w:autoSpaceDE w:val="0"/>
              <w:autoSpaceDN w:val="0"/>
              <w:snapToGrid w:val="0"/>
              <w:spacing w:line="290" w:lineRule="atLeast"/>
              <w:ind w:firstLineChars="200" w:firstLine="420"/>
              <w:rPr>
                <w:rFonts w:ascii="SimSun" w:eastAsia="SimSun" w:hAnsi="SimSun"/>
                <w:szCs w:val="21"/>
              </w:rPr>
            </w:pPr>
          </w:p>
          <w:p w:rsidR="00140993" w:rsidRPr="00140993" w:rsidRDefault="00140993" w:rsidP="00140993">
            <w:pPr>
              <w:wordWrap w:val="0"/>
              <w:autoSpaceDE w:val="0"/>
              <w:autoSpaceDN w:val="0"/>
              <w:snapToGrid w:val="0"/>
              <w:spacing w:line="290" w:lineRule="atLeast"/>
              <w:ind w:firstLineChars="200" w:firstLine="420"/>
              <w:rPr>
                <w:rFonts w:ascii="SimSun" w:eastAsia="SimSun" w:hAnsi="SimSun"/>
                <w:szCs w:val="21"/>
              </w:rPr>
            </w:pPr>
          </w:p>
          <w:p w:rsidR="00140993" w:rsidRPr="00140993" w:rsidRDefault="00140993" w:rsidP="00140993">
            <w:pPr>
              <w:wordWrap w:val="0"/>
              <w:autoSpaceDE w:val="0"/>
              <w:autoSpaceDN w:val="0"/>
              <w:snapToGrid w:val="0"/>
              <w:spacing w:line="290" w:lineRule="atLeast"/>
              <w:ind w:firstLineChars="200" w:firstLine="420"/>
              <w:jc w:val="right"/>
              <w:rPr>
                <w:rFonts w:ascii="SimSun" w:eastAsia="SimSun" w:hAnsi="SimSun"/>
                <w:szCs w:val="21"/>
              </w:rPr>
            </w:pPr>
            <w:r w:rsidRPr="00140993">
              <w:rPr>
                <w:rFonts w:ascii="SimSun" w:eastAsia="SimSun" w:hAnsi="SimSun" w:hint="eastAsia"/>
                <w:szCs w:val="21"/>
              </w:rPr>
              <w:t>国家税务总局</w:t>
            </w:r>
          </w:p>
          <w:p w:rsidR="00140993" w:rsidRPr="00140993" w:rsidRDefault="00140993" w:rsidP="00140993">
            <w:pPr>
              <w:wordWrap w:val="0"/>
              <w:autoSpaceDE w:val="0"/>
              <w:autoSpaceDN w:val="0"/>
              <w:snapToGrid w:val="0"/>
              <w:spacing w:line="290" w:lineRule="atLeast"/>
              <w:ind w:firstLineChars="200" w:firstLine="420"/>
              <w:jc w:val="right"/>
              <w:rPr>
                <w:rFonts w:ascii="SimSun" w:eastAsia="SimSun" w:hAnsi="SimSun"/>
                <w:szCs w:val="21"/>
              </w:rPr>
            </w:pPr>
            <w:r w:rsidRPr="00140993">
              <w:rPr>
                <w:rFonts w:ascii="SimSun" w:eastAsia="SimSun" w:hAnsi="SimSun" w:hint="eastAsia"/>
                <w:szCs w:val="21"/>
              </w:rPr>
              <w:t>2015年11月16日</w:t>
            </w:r>
          </w:p>
          <w:p w:rsidR="00DB5008" w:rsidRPr="00DB5008" w:rsidRDefault="00DB5008" w:rsidP="00DB5008">
            <w:pPr>
              <w:wordWrap w:val="0"/>
              <w:autoSpaceDE w:val="0"/>
              <w:autoSpaceDN w:val="0"/>
              <w:spacing w:line="290" w:lineRule="atLeast"/>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549" w:rsidRDefault="00712549" w:rsidP="00C278F4">
      <w:r>
        <w:separator/>
      </w:r>
    </w:p>
  </w:endnote>
  <w:endnote w:type="continuationSeparator" w:id="1">
    <w:p w:rsidR="00712549" w:rsidRDefault="0071254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549" w:rsidRDefault="00712549" w:rsidP="00C278F4">
      <w:r>
        <w:separator/>
      </w:r>
    </w:p>
  </w:footnote>
  <w:footnote w:type="continuationSeparator" w:id="1">
    <w:p w:rsidR="00712549" w:rsidRDefault="0071254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4">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D115A"/>
    <w:rsid w:val="00100135"/>
    <w:rsid w:val="00140993"/>
    <w:rsid w:val="00247BC5"/>
    <w:rsid w:val="00315BCC"/>
    <w:rsid w:val="0053491D"/>
    <w:rsid w:val="00587FEA"/>
    <w:rsid w:val="006E2B22"/>
    <w:rsid w:val="00712549"/>
    <w:rsid w:val="00B87E3D"/>
    <w:rsid w:val="00C278F4"/>
    <w:rsid w:val="00DB500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semiHidden/>
    <w:unhideWhenUsed/>
    <w:rsid w:val="00C278F4"/>
    <w:pPr>
      <w:tabs>
        <w:tab w:val="center" w:pos="4513"/>
        <w:tab w:val="right" w:pos="9026"/>
      </w:tabs>
      <w:snapToGrid w:val="0"/>
    </w:pPr>
  </w:style>
  <w:style w:type="character" w:customStyle="1" w:styleId="Char0">
    <w:name w:val="바닥글 Char"/>
    <w:basedOn w:val="a0"/>
    <w:link w:val="a6"/>
    <w:uiPriority w:val="99"/>
    <w:semiHidden/>
    <w:rsid w:val="00C278F4"/>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478</Words>
  <Characters>2727</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4</cp:revision>
  <dcterms:created xsi:type="dcterms:W3CDTF">2015-12-09T06:16:00Z</dcterms:created>
  <dcterms:modified xsi:type="dcterms:W3CDTF">2015-12-09T06:44:00Z</dcterms:modified>
</cp:coreProperties>
</file>