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35B6D" w:rsidTr="00446B8B">
        <w:tc>
          <w:tcPr>
            <w:tcW w:w="4785" w:type="dxa"/>
          </w:tcPr>
          <w:p w:rsidR="00154215" w:rsidRDefault="00B35B6D" w:rsidP="0015421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54215">
              <w:rPr>
                <w:rFonts w:ascii="한컴바탕" w:eastAsia="한컴바탕" w:hAnsi="한컴바탕" w:cs="한컴바탕" w:hint="eastAsia"/>
                <w:b/>
                <w:sz w:val="26"/>
                <w:szCs w:val="26"/>
                <w:lang w:eastAsia="ko-KR"/>
              </w:rPr>
              <w:t xml:space="preserve">《가공무역 네트워크 수출입상품 </w:t>
            </w:r>
          </w:p>
          <w:p w:rsidR="00154215" w:rsidRDefault="00B35B6D" w:rsidP="0015421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54215">
              <w:rPr>
                <w:rFonts w:ascii="한컴바탕" w:eastAsia="한컴바탕" w:hAnsi="한컴바탕" w:cs="한컴바탕" w:hint="eastAsia"/>
                <w:b/>
                <w:sz w:val="26"/>
                <w:szCs w:val="26"/>
                <w:lang w:eastAsia="ko-KR"/>
              </w:rPr>
              <w:t xml:space="preserve">감독관리 통합규칙(시행)》 실시에 </w:t>
            </w:r>
          </w:p>
          <w:p w:rsidR="00B35B6D" w:rsidRPr="00154215" w:rsidRDefault="00B35B6D" w:rsidP="0015421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154215">
              <w:rPr>
                <w:rFonts w:ascii="한컴바탕" w:eastAsia="한컴바탕" w:hAnsi="한컴바탕" w:cs="한컴바탕" w:hint="eastAsia"/>
                <w:b/>
                <w:sz w:val="26"/>
                <w:szCs w:val="26"/>
                <w:lang w:eastAsia="ko-KR"/>
              </w:rPr>
              <w:t>관한 건</w:t>
            </w:r>
          </w:p>
          <w:p w:rsidR="00B35B6D" w:rsidRPr="00154215" w:rsidRDefault="00B35B6D" w:rsidP="00154215">
            <w:pPr>
              <w:wordWrap w:val="0"/>
              <w:topLinePunct/>
              <w:autoSpaceDN w:val="0"/>
              <w:adjustRightInd w:val="0"/>
              <w:snapToGrid w:val="0"/>
              <w:spacing w:line="290" w:lineRule="atLeast"/>
              <w:ind w:firstLineChars="200" w:firstLine="420"/>
              <w:jc w:val="center"/>
              <w:rPr>
                <w:rFonts w:ascii="한컴바탕" w:eastAsia="한컴바탕" w:hAnsi="한컴바탕" w:cs="한컴바탕"/>
                <w:szCs w:val="21"/>
                <w:lang w:eastAsia="ko-KR"/>
              </w:rPr>
            </w:pPr>
            <w:r w:rsidRPr="00154215">
              <w:rPr>
                <w:rFonts w:ascii="한컴바탕" w:eastAsia="한컴바탕" w:hAnsi="한컴바탕" w:cs="한컴바탕" w:hint="eastAsia"/>
                <w:szCs w:val="21"/>
                <w:lang w:eastAsia="ko-KR"/>
              </w:rPr>
              <w:t>해관총서공고 2010년 제55호</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해관의 가공무역기업에 대한 관리를 규범화하고 효율적인 감독관리를 전제로 하여 기업운용을 확보하기 위해 해관총서는 《가공무역 네트워크 수출입상품 감독관리 통합규칙(시행)》 (이하 《통합규칙》, 첨부참조)을 연구제정 하였으며, 《통합규칙》실시과정 중 유관문제에 대해 다음과 같이 공고한다.</w:t>
            </w:r>
          </w:p>
          <w:p w:rsidR="00B35B6D" w:rsidRPr="00154215" w:rsidRDefault="00B35B6D" w:rsidP="00154215">
            <w:pPr>
              <w:wordWrap w:val="0"/>
              <w:topLinePunct/>
              <w:autoSpaceDN w:val="0"/>
              <w:adjustRightInd w:val="0"/>
              <w:snapToGrid w:val="0"/>
              <w:spacing w:line="290" w:lineRule="atLeast"/>
              <w:ind w:firstLineChars="200" w:firstLine="412"/>
              <w:rPr>
                <w:rFonts w:ascii="한컴바탕" w:eastAsia="한컴바탕" w:hAnsi="한컴바탕" w:cs="한컴바탕" w:hint="eastAsia"/>
                <w:spacing w:val="-2"/>
                <w:szCs w:val="21"/>
                <w:lang w:eastAsia="ko-KR"/>
              </w:rPr>
            </w:pPr>
            <w:r w:rsidRPr="00154215">
              <w:rPr>
                <w:rFonts w:ascii="한컴바탕" w:eastAsia="한컴바탕" w:hAnsi="한컴바탕" w:cs="한컴바탕" w:hint="eastAsia"/>
                <w:spacing w:val="-2"/>
                <w:szCs w:val="21"/>
                <w:lang w:eastAsia="ko-KR"/>
              </w:rPr>
              <w:t xml:space="preserve">1. 《통합규칙》은 해관의 《중화인문공화국 해관 가공무역기업 네트워크 관리감독방법》(해관총서령 제 150호)에 근거하여 전자장부를 사용하여 네트워크 감독관리를 시행하는 가공무역기업(이하 </w:t>
            </w:r>
            <w:r w:rsidRPr="00154215">
              <w:rPr>
                <w:rFonts w:ascii="한컴바탕" w:eastAsia="한컴바탕" w:hAnsi="한컴바탕" w:cs="한컴바탕"/>
                <w:spacing w:val="-2"/>
                <w:szCs w:val="21"/>
                <w:lang w:eastAsia="ko-KR"/>
              </w:rPr>
              <w:t>“</w:t>
            </w:r>
            <w:r w:rsidRPr="00154215">
              <w:rPr>
                <w:rFonts w:ascii="한컴바탕" w:eastAsia="한컴바탕" w:hAnsi="한컴바탕" w:cs="한컴바탕" w:hint="eastAsia"/>
                <w:spacing w:val="-2"/>
                <w:szCs w:val="21"/>
                <w:lang w:eastAsia="ko-KR"/>
              </w:rPr>
              <w:t>네트워크 기업</w:t>
            </w:r>
            <w:r w:rsidRPr="00154215">
              <w:rPr>
                <w:rFonts w:ascii="한컴바탕" w:eastAsia="한컴바탕" w:hAnsi="한컴바탕" w:cs="한컴바탕"/>
                <w:spacing w:val="-2"/>
                <w:szCs w:val="21"/>
                <w:lang w:eastAsia="ko-KR"/>
              </w:rPr>
              <w:t>”</w:t>
            </w:r>
            <w:r w:rsidRPr="00154215">
              <w:rPr>
                <w:rFonts w:ascii="한컴바탕" w:eastAsia="한컴바탕" w:hAnsi="한컴바탕" w:cs="한컴바탕" w:hint="eastAsia"/>
                <w:spacing w:val="-2"/>
                <w:szCs w:val="21"/>
                <w:lang w:eastAsia="ko-KR"/>
              </w:rPr>
              <w:t>)에 적용된다.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 xml:space="preserve">2. 네트워크 기업은 기업실제 상황에 근거하여, 《통합규칙》중 6항 규칙을 순서에 따라 사용하며 주관 해관은 통합관계 심의 시, 검수를 진행한다. </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3. 본 공고의 시행일로부터, 신규 네트워크 기업은 《통합규칙》에 따라 비안하고, 전자장부를 변경한다.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4. 현재 네트워크 기업이 집행하고 있는 전자장부가 《통합규칙》에 부합하지 않는 경우, 반드시 2011년 12월 31일 전에 《통합규칙》에 따라 해관에 신규 전자장부 1부를 비안 신청한다. 신규 전자장부 비안 후, 기존의 전자장부는 여분의 자료를 신규 전자장부에 이월하는 동시에 핵소(核销)를 거친 후 말소한다. 가공무역 정보화 관리 보조 플랫폼 건설 진도에 영향을 받아 제 4조 규칙을 적용할 수 없는 네트워크 기업은 현행 방법을 유지하되, 《통합규칙》 집행 시기에 각 직속 해관이 플랫폼 건설 진도에 따라 별도로 공고한다.</w:t>
            </w:r>
          </w:p>
          <w:p w:rsidR="00B35B6D" w:rsidRPr="00154215" w:rsidRDefault="00B35B6D" w:rsidP="00154215">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154215">
              <w:rPr>
                <w:rFonts w:ascii="한컴바탕" w:eastAsia="한컴바탕" w:hAnsi="한컴바탕" w:cs="한컴바탕" w:hint="eastAsia"/>
                <w:spacing w:val="-12"/>
                <w:szCs w:val="21"/>
                <w:lang w:eastAsia="ko-KR"/>
              </w:rPr>
              <w:t xml:space="preserve">5. 주 재료는 가공 완제품을 구성하는 주요 수입 자재 및 부품을 뜻하며, 비 주요 재료는 가공 완제품을 구성하는 기타 수입 자재 및 부품을 의미한다. 컴퓨터 시스템을 수입 자재 및 부품의 중요도에 따라 분리 관리를 시행하는 기업은 주관 해관에 주 재료 및 비 주요 재료를 구분 신청하여 감독관리를 받는다. 주관 해관은 수입 자재 및 부품의 무역관제 조건, 가격, 1 단위 생산 소모량 등의 요소를 감독관리의 필요에 </w:t>
            </w:r>
            <w:r w:rsidRPr="00154215">
              <w:rPr>
                <w:rFonts w:ascii="한컴바탕" w:eastAsia="한컴바탕" w:hAnsi="한컴바탕" w:cs="한컴바탕" w:hint="eastAsia"/>
                <w:spacing w:val="-12"/>
                <w:szCs w:val="21"/>
                <w:lang w:eastAsia="ko-KR"/>
              </w:rPr>
              <w:lastRenderedPageBreak/>
              <w:t xml:space="preserve">따라 주 재료 및 비 주요재료를 인증을 실시한다. </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54215">
              <w:rPr>
                <w:rFonts w:ascii="한컴바탕" w:eastAsia="한컴바탕" w:hAnsi="한컴바탕" w:cs="한컴바탕" w:hint="eastAsia"/>
                <w:szCs w:val="21"/>
                <w:lang w:eastAsia="ko-KR"/>
              </w:rPr>
              <w:t>6. 가공무역 정보화 관리 보조 플랫폼은 가공무역 네트워크 감독관리 전자장부 시스템을 구축에 부합하고 해관이 여러 가공무역 네트워크 기업에 대해 코드화 상품의 핵소(核销) 및 핵산(核算) 진행에 보조할 수 있는 정보화 관리플랫폼을 뜻한다. 정보화 관리 플랫폼의 운용 투입 이전에 반드시 해관총서 조직의 검수를 통과해야 한다.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54215">
              <w:rPr>
                <w:rFonts w:ascii="한컴바탕" w:eastAsia="한컴바탕" w:hAnsi="한컴바탕" w:cs="한컴바탕" w:hint="eastAsia"/>
                <w:szCs w:val="21"/>
                <w:lang w:eastAsia="ko-KR"/>
              </w:rPr>
              <w:t>7. 본 공고의 내용은 2010년 9월 1일부로 시행된다.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54215">
              <w:rPr>
                <w:rFonts w:ascii="한컴바탕" w:eastAsia="한컴바탕" w:hAnsi="한컴바탕" w:cs="한컴바탕" w:hint="eastAsia"/>
                <w:szCs w:val="21"/>
                <w:lang w:eastAsia="ko-KR"/>
              </w:rPr>
              <w:t>이에 특별히 공고한다.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첨부: 가공무역 네트워크 수출입 상품 감독관리 통합규칙(시행)</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2010년 8월 24일</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첨부:</w:t>
            </w:r>
          </w:p>
          <w:p w:rsidR="00B35B6D" w:rsidRPr="00154215" w:rsidRDefault="00B35B6D" w:rsidP="00C81DED">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154215">
              <w:rPr>
                <w:rFonts w:ascii="한컴바탕" w:eastAsia="한컴바탕" w:hAnsi="한컴바탕" w:cs="한컴바탕" w:hint="eastAsia"/>
                <w:b/>
                <w:szCs w:val="21"/>
                <w:lang w:eastAsia="ko-KR"/>
              </w:rPr>
              <w:t>가공무역 네트워크 수출입상품 관리감독 통합규칙(시행)</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 xml:space="preserve">가공무역 네트워크 감독관리 기업(이하 </w:t>
            </w:r>
            <w:r w:rsidRPr="00154215">
              <w:rPr>
                <w:rFonts w:ascii="한컴바탕" w:eastAsia="한컴바탕" w:hAnsi="한컴바탕" w:cs="한컴바탕"/>
                <w:szCs w:val="21"/>
                <w:lang w:eastAsia="ko-KR"/>
              </w:rPr>
              <w:t>“</w:t>
            </w:r>
            <w:r w:rsidRPr="00154215">
              <w:rPr>
                <w:rFonts w:ascii="한컴바탕" w:eastAsia="한컴바탕" w:hAnsi="한컴바탕" w:cs="한컴바탕" w:hint="eastAsia"/>
                <w:szCs w:val="21"/>
                <w:lang w:eastAsia="ko-KR"/>
              </w:rPr>
              <w:t>네트워크 기업</w:t>
            </w:r>
            <w:r w:rsidRPr="00154215">
              <w:rPr>
                <w:rFonts w:ascii="한컴바탕" w:eastAsia="한컴바탕" w:hAnsi="한컴바탕" w:cs="한컴바탕"/>
                <w:szCs w:val="21"/>
                <w:lang w:eastAsia="ko-KR"/>
              </w:rPr>
              <w:t>”</w:t>
            </w:r>
            <w:r w:rsidRPr="00154215">
              <w:rPr>
                <w:rFonts w:ascii="한컴바탕" w:eastAsia="한컴바탕" w:hAnsi="한컴바탕" w:cs="한컴바탕" w:hint="eastAsia"/>
                <w:szCs w:val="21"/>
                <w:lang w:eastAsia="ko-KR"/>
              </w:rPr>
              <w:t>)의 전자장부 비안 및 변경 시, 수입 자재 및 부품과 수출 완성품에 대해 통합을 진행하고, 아래의 규정을 준수해야 한다.</w:t>
            </w:r>
          </w:p>
          <w:p w:rsidR="00B35B6D" w:rsidRPr="00154215" w:rsidRDefault="00B35B6D" w:rsidP="00154215">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154215">
              <w:rPr>
                <w:rFonts w:ascii="한컴바탕" w:eastAsia="한컴바탕" w:hAnsi="한컴바탕" w:cs="한컴바탕" w:hint="eastAsia"/>
                <w:b/>
                <w:szCs w:val="21"/>
                <w:lang w:eastAsia="ko-KR"/>
              </w:rPr>
              <w:t>제 1조</w:t>
            </w:r>
            <w:r w:rsidRPr="00154215">
              <w:rPr>
                <w:rFonts w:ascii="한컴바탕" w:eastAsia="한컴바탕" w:hAnsi="한컴바탕" w:cs="한컴바탕" w:hint="eastAsia"/>
                <w:szCs w:val="21"/>
                <w:lang w:eastAsia="ko-KR"/>
              </w:rPr>
              <w:t xml:space="preserve"> 전자장부의 비안, 변경 시, 네트워크 기업은 내부 관리되는 상품코드를 기초로 《중화인민공화국 수출입 세칙》이 규정하는 목록 조항과 분류 총 규칙, 대분류, 중분류, 상세품목 주석 및 기타 분류주석에 따라 상품 분류를 진행하는 동시에 상응하는 관세품목을 포함시키며 해관심사를 통해 확정한 후, 기업내부에서 관리되는 상품코드와 전자장부 비안의 상품HS코드 사이의 대응 관계를 설정한다.</w:t>
            </w:r>
          </w:p>
          <w:p w:rsidR="00B35B6D" w:rsidRPr="00154215" w:rsidRDefault="00B35B6D" w:rsidP="00154215">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154215">
              <w:rPr>
                <w:rFonts w:ascii="한컴바탕" w:eastAsia="한컴바탕" w:hAnsi="한컴바탕" w:cs="한컴바탕" w:hint="eastAsia"/>
                <w:b/>
                <w:szCs w:val="21"/>
                <w:lang w:eastAsia="ko-KR"/>
              </w:rPr>
              <w:t>제 2조</w:t>
            </w:r>
            <w:r w:rsidRPr="00154215">
              <w:rPr>
                <w:rFonts w:ascii="한컴바탕" w:eastAsia="한컴바탕" w:hAnsi="한컴바탕" w:cs="한컴바탕" w:hint="eastAsia"/>
                <w:szCs w:val="21"/>
                <w:lang w:eastAsia="ko-KR"/>
              </w:rPr>
              <w:t xml:space="preserve"> 전자 장부 비안, 변경 시, 해관의 자원제한 관리감독을 받아 상품번호와 상품 HS코드를 일대일로 설정할 수 없고, 다대일(多对一)의 통합관계를 설정해야 되는 경우, 수입 자재 및 부품의 실제 정황에 근거하여 제 3조, 제 4조, 제 5조에 따라 구분하여 처리한다. 수출 완제품은 제 6조에 따라 처리한다.</w:t>
            </w:r>
          </w:p>
          <w:p w:rsidR="00B35B6D" w:rsidRPr="00154215" w:rsidRDefault="00B35B6D" w:rsidP="00154215">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154215">
              <w:rPr>
                <w:rFonts w:ascii="한컴바탕" w:eastAsia="한컴바탕" w:hAnsi="한컴바탕" w:cs="한컴바탕" w:hint="eastAsia"/>
                <w:b/>
                <w:szCs w:val="21"/>
                <w:lang w:eastAsia="ko-KR"/>
              </w:rPr>
              <w:lastRenderedPageBreak/>
              <w:t>제 3조</w:t>
            </w:r>
            <w:r w:rsidRPr="00154215">
              <w:rPr>
                <w:rFonts w:ascii="한컴바탕" w:eastAsia="한컴바탕" w:hAnsi="한컴바탕" w:cs="한컴바탕" w:hint="eastAsia"/>
                <w:szCs w:val="21"/>
                <w:lang w:eastAsia="ko-KR"/>
              </w:rPr>
              <w:t xml:space="preserve"> 네트워크 기업의 컴퓨터 시스템은 수입 자재 및 부품의 중요도에 따라 분리해서 관리할 수 있으며, 주관 해관이 그 수입 자재 및 부품을 주요 재료와 비 주요 재료로 구분하여 관리감독 할 수 있다고 인정하는 경우, 주요 재료에 대해 대응관계를 설정하고 비 주요재료에 대해 제 5조에 따라 다대일(多对一)의 통합 관계를 설정할 수 있다.</w:t>
            </w:r>
          </w:p>
          <w:p w:rsidR="00B35B6D" w:rsidRPr="00857D80" w:rsidRDefault="00B35B6D" w:rsidP="00857D80">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857D80">
              <w:rPr>
                <w:rFonts w:ascii="한컴바탕" w:eastAsia="한컴바탕" w:hAnsi="한컴바탕" w:cs="한컴바탕" w:hint="eastAsia"/>
                <w:b/>
                <w:spacing w:val="-4"/>
                <w:szCs w:val="21"/>
                <w:lang w:eastAsia="ko-KR"/>
              </w:rPr>
              <w:t>제 4조</w:t>
            </w:r>
            <w:r w:rsidRPr="00857D80">
              <w:rPr>
                <w:rFonts w:ascii="한컴바탕" w:eastAsia="한컴바탕" w:hAnsi="한컴바탕" w:cs="한컴바탕" w:hint="eastAsia"/>
                <w:spacing w:val="-4"/>
                <w:szCs w:val="21"/>
                <w:lang w:eastAsia="ko-KR"/>
              </w:rPr>
              <w:t xml:space="preserve"> 해관이 가공무역 정보화 관리 보조 플랫폼을 운용하여 상품번호 핵소(核销) 및 핵산(核算)을 진행하게 되는 경우에 제 5조에 따라 다대일(多对一)의 통합관계를 설정할 수 있다.</w:t>
            </w:r>
          </w:p>
          <w:p w:rsidR="00B35B6D" w:rsidRPr="00154215" w:rsidRDefault="00B35B6D" w:rsidP="00154215">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154215">
              <w:rPr>
                <w:rFonts w:ascii="한컴바탕" w:eastAsia="한컴바탕" w:hAnsi="한컴바탕" w:cs="한컴바탕" w:hint="eastAsia"/>
                <w:b/>
                <w:szCs w:val="21"/>
                <w:lang w:eastAsia="ko-KR"/>
              </w:rPr>
              <w:t>제 5조</w:t>
            </w:r>
            <w:r w:rsidRPr="00154215">
              <w:rPr>
                <w:rFonts w:ascii="한컴바탕" w:eastAsia="한컴바탕" w:hAnsi="한컴바탕" w:cs="한컴바탕" w:hint="eastAsia"/>
                <w:szCs w:val="21"/>
                <w:lang w:eastAsia="ko-KR"/>
              </w:rPr>
              <w:t xml:space="preserve"> 자재 및 부품번호가 아래의 조건에 동시에 부합하는 경우에는 통합할 수 있다.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1. 10단위 상품번호가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2. 신고 계량 단위가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3. 중문상품명칭이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4. 신고규범의 요구에 부합하는 경우</w:t>
            </w:r>
          </w:p>
          <w:p w:rsidR="00B35B6D" w:rsidRPr="00857D80" w:rsidRDefault="00B35B6D" w:rsidP="00857D80">
            <w:pPr>
              <w:wordWrap w:val="0"/>
              <w:topLinePunct/>
              <w:autoSpaceDN w:val="0"/>
              <w:adjustRightInd w:val="0"/>
              <w:snapToGrid w:val="0"/>
              <w:spacing w:line="290" w:lineRule="atLeast"/>
              <w:ind w:firstLineChars="200" w:firstLine="412"/>
              <w:rPr>
                <w:rFonts w:ascii="한컴바탕" w:eastAsia="한컴바탕" w:hAnsi="한컴바탕" w:cs="한컴바탕" w:hint="eastAsia"/>
                <w:b/>
                <w:spacing w:val="-2"/>
                <w:szCs w:val="21"/>
                <w:lang w:eastAsia="ko-KR"/>
              </w:rPr>
            </w:pPr>
            <w:r w:rsidRPr="00857D80">
              <w:rPr>
                <w:rFonts w:ascii="한컴바탕" w:eastAsia="한컴바탕" w:hAnsi="한컴바탕" w:cs="한컴바탕" w:hint="eastAsia"/>
                <w:spacing w:val="-2"/>
                <w:szCs w:val="21"/>
                <w:lang w:eastAsia="ko-KR"/>
              </w:rPr>
              <w:t>그 중, 상관규정에 근거하여 보세의 소모성 물품과 기타 보세부품은 통합할 수 없다. 관리상의 필요로 인해 해관 또는 기업이 단일 열거가 필요하다고 판단한 상품은 통합할 수 없다.</w:t>
            </w:r>
          </w:p>
          <w:p w:rsidR="00B35B6D" w:rsidRPr="00857D80" w:rsidRDefault="00B35B6D" w:rsidP="00857D80">
            <w:pPr>
              <w:wordWrap w:val="0"/>
              <w:topLinePunct/>
              <w:autoSpaceDN w:val="0"/>
              <w:adjustRightInd w:val="0"/>
              <w:snapToGrid w:val="0"/>
              <w:spacing w:line="290" w:lineRule="atLeast"/>
              <w:ind w:firstLineChars="200" w:firstLine="380"/>
              <w:rPr>
                <w:rFonts w:ascii="한컴바탕" w:eastAsia="한컴바탕" w:hAnsi="한컴바탕" w:cs="한컴바탕" w:hint="eastAsia"/>
                <w:spacing w:val="-8"/>
                <w:szCs w:val="21"/>
                <w:lang w:eastAsia="ko-KR"/>
              </w:rPr>
            </w:pPr>
            <w:r w:rsidRPr="00857D80">
              <w:rPr>
                <w:rFonts w:ascii="한컴바탕" w:eastAsia="한컴바탕" w:hAnsi="한컴바탕" w:cs="한컴바탕" w:hint="eastAsia"/>
                <w:b/>
                <w:spacing w:val="-8"/>
                <w:szCs w:val="21"/>
                <w:lang w:eastAsia="ko-KR"/>
              </w:rPr>
              <w:t>제 6조</w:t>
            </w:r>
            <w:r w:rsidRPr="00857D80">
              <w:rPr>
                <w:rFonts w:ascii="한컴바탕" w:eastAsia="한컴바탕" w:hAnsi="한컴바탕" w:cs="한컴바탕" w:hint="eastAsia"/>
                <w:spacing w:val="-8"/>
                <w:szCs w:val="21"/>
                <w:lang w:eastAsia="ko-KR"/>
              </w:rPr>
              <w:t xml:space="preserve"> 수출 완제품은 완제품 버전 번호를 지정하여 비안 및 신고를 진행하고 만약 아래 조건을 동시에 만족시킬 경우, 통합을 진행할 수 있다.</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1. 10단위 상품번호가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2. 신고 계량 단위가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3. 중문상품명칭이 같은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154215">
              <w:rPr>
                <w:rFonts w:ascii="한컴바탕" w:eastAsia="한컴바탕" w:hAnsi="한컴바탕" w:cs="한컴바탕" w:hint="eastAsia"/>
                <w:szCs w:val="21"/>
                <w:lang w:eastAsia="ko-KR"/>
              </w:rPr>
              <w:t>4. 신고규범의 요구에 부합하는 경우</w:t>
            </w:r>
          </w:p>
          <w:p w:rsidR="00B35B6D" w:rsidRPr="00154215" w:rsidRDefault="00B35B6D" w:rsidP="00154215">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154215">
              <w:rPr>
                <w:rFonts w:ascii="한컴바탕" w:eastAsia="한컴바탕" w:hAnsi="한컴바탕" w:cs="한컴바탕" w:hint="eastAsia"/>
                <w:szCs w:val="21"/>
                <w:lang w:eastAsia="ko-KR"/>
              </w:rPr>
              <w:t>그 중, 1 단위 생산 소모표준에 포함되는 상품번호 상품과 1단위 생산 소모표준에 포함되지 않는 상품은 통합할 수 없다. 관리의 필요에 의해, 해관 또는 기업이 단일 열거가 필요하다고 판단한 상품은 통합할 수 없다.</w:t>
            </w:r>
          </w:p>
          <w:p w:rsidR="00B35B6D" w:rsidRPr="00154215" w:rsidRDefault="00B35B6D" w:rsidP="00154215">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B35B6D" w:rsidRPr="00154215" w:rsidRDefault="00B35B6D" w:rsidP="00154215">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B35B6D" w:rsidRPr="00154215" w:rsidRDefault="00B35B6D" w:rsidP="00154215">
            <w:pPr>
              <w:snapToGrid w:val="0"/>
              <w:spacing w:line="290" w:lineRule="atLeast"/>
              <w:rPr>
                <w:szCs w:val="21"/>
                <w:lang w:eastAsia="ko-KR"/>
              </w:rPr>
            </w:pPr>
          </w:p>
        </w:tc>
        <w:tc>
          <w:tcPr>
            <w:tcW w:w="3958" w:type="dxa"/>
          </w:tcPr>
          <w:p w:rsidR="00154215" w:rsidRDefault="00154215" w:rsidP="00154215">
            <w:pPr>
              <w:snapToGrid w:val="0"/>
              <w:spacing w:line="290" w:lineRule="atLeast"/>
              <w:jc w:val="center"/>
              <w:rPr>
                <w:rFonts w:ascii="SimSun" w:eastAsiaTheme="minorEastAsia" w:hAnsi="SimSun" w:hint="eastAsia"/>
                <w:b/>
                <w:sz w:val="26"/>
                <w:szCs w:val="26"/>
                <w:lang w:eastAsia="ko-KR"/>
              </w:rPr>
            </w:pPr>
            <w:r w:rsidRPr="00154215">
              <w:rPr>
                <w:rFonts w:ascii="SimSun" w:hAnsi="SimSun" w:hint="eastAsia"/>
                <w:b/>
                <w:sz w:val="26"/>
                <w:szCs w:val="26"/>
              </w:rPr>
              <w:t>关于实施《加工贸易联网监管</w:t>
            </w:r>
          </w:p>
          <w:p w:rsidR="00154215" w:rsidRDefault="00154215" w:rsidP="00154215">
            <w:pPr>
              <w:snapToGrid w:val="0"/>
              <w:spacing w:line="290" w:lineRule="atLeast"/>
              <w:jc w:val="center"/>
              <w:rPr>
                <w:rFonts w:ascii="SimSun" w:eastAsiaTheme="minorEastAsia" w:hAnsi="SimSun" w:hint="eastAsia"/>
                <w:b/>
                <w:sz w:val="26"/>
                <w:szCs w:val="26"/>
                <w:lang w:eastAsia="ko-KR"/>
              </w:rPr>
            </w:pPr>
            <w:r w:rsidRPr="00154215">
              <w:rPr>
                <w:rFonts w:ascii="SimSun" w:hAnsi="SimSun" w:hint="eastAsia"/>
                <w:b/>
                <w:sz w:val="26"/>
                <w:szCs w:val="26"/>
              </w:rPr>
              <w:t>进出口商品归并规则</w:t>
            </w:r>
          </w:p>
          <w:p w:rsidR="00154215" w:rsidRPr="00154215" w:rsidRDefault="00154215" w:rsidP="00154215">
            <w:pPr>
              <w:snapToGrid w:val="0"/>
              <w:spacing w:line="290" w:lineRule="atLeast"/>
              <w:jc w:val="center"/>
              <w:rPr>
                <w:rFonts w:ascii="SimSun" w:hAnsi="SimSun" w:hint="eastAsia"/>
                <w:b/>
                <w:sz w:val="26"/>
                <w:szCs w:val="26"/>
              </w:rPr>
            </w:pPr>
            <w:r w:rsidRPr="00154215">
              <w:rPr>
                <w:rFonts w:ascii="SimSun" w:hAnsi="SimSun" w:hint="eastAsia"/>
                <w:b/>
                <w:sz w:val="26"/>
                <w:szCs w:val="26"/>
              </w:rPr>
              <w:t>（试行）》</w:t>
            </w:r>
          </w:p>
          <w:p w:rsidR="00154215" w:rsidRPr="00154215" w:rsidRDefault="00154215" w:rsidP="00154215">
            <w:pPr>
              <w:snapToGrid w:val="0"/>
              <w:spacing w:line="290" w:lineRule="atLeast"/>
              <w:jc w:val="center"/>
              <w:rPr>
                <w:rFonts w:ascii="SimSun" w:hAnsi="SimSun"/>
                <w:szCs w:val="21"/>
              </w:rPr>
            </w:pPr>
            <w:r w:rsidRPr="00154215">
              <w:rPr>
                <w:rFonts w:ascii="SimSun" w:hAnsi="SimSun" w:hint="eastAsia"/>
                <w:szCs w:val="21"/>
              </w:rPr>
              <w:t>海关总署公告2010年第55号</w:t>
            </w:r>
          </w:p>
          <w:p w:rsidR="00154215" w:rsidRPr="00154215" w:rsidRDefault="00154215" w:rsidP="00154215">
            <w:pPr>
              <w:snapToGrid w:val="0"/>
              <w:spacing w:line="290" w:lineRule="atLeast"/>
              <w:ind w:firstLineChars="200" w:firstLine="420"/>
              <w:rPr>
                <w:rFonts w:ascii="SimSun" w:hAnsi="SimSun" w:hint="eastAsia"/>
                <w:szCs w:val="21"/>
              </w:rPr>
            </w:pPr>
          </w:p>
          <w:p w:rsidR="00154215" w:rsidRPr="00154215" w:rsidRDefault="00154215" w:rsidP="00154215">
            <w:pPr>
              <w:snapToGrid w:val="0"/>
              <w:spacing w:line="290" w:lineRule="atLeast"/>
              <w:ind w:firstLineChars="200" w:firstLine="420"/>
              <w:rPr>
                <w:rFonts w:ascii="SimSun" w:hAnsi="SimSun" w:hint="eastAsia"/>
                <w:szCs w:val="21"/>
              </w:rPr>
            </w:pP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 xml:space="preserve">为了规范海关对加工贸易企业的管理，在确保有效监管的前提下便利企业运作，海关总署研究制定了《加工贸易联网监管进出口商品归并规则（试行）》（以下简称《归并规则》，见附件），现就《归并规则》实施过程中有关问题公告如下： </w:t>
            </w:r>
          </w:p>
          <w:p w:rsidR="00154215" w:rsidRPr="00154215" w:rsidRDefault="00154215" w:rsidP="00154215">
            <w:pPr>
              <w:snapToGrid w:val="0"/>
              <w:spacing w:line="290" w:lineRule="atLeast"/>
              <w:ind w:firstLineChars="200" w:firstLine="420"/>
              <w:rPr>
                <w:rFonts w:ascii="SimSun" w:hAnsi="SimSun"/>
                <w:szCs w:val="21"/>
              </w:rPr>
            </w:pPr>
            <w:r w:rsidRPr="00154215">
              <w:rPr>
                <w:rFonts w:ascii="SimSun" w:hAnsi="SimSun" w:hint="eastAsia"/>
                <w:szCs w:val="21"/>
              </w:rPr>
              <w:t>一、《归并规则》适用于海关依据《中华人民共和国海关加工贸易企业联网监管办法》（海关总署令第150号）采用电子账册实施联网监管的加工贸易企业（以下简称“联网企业”）。</w:t>
            </w:r>
          </w:p>
          <w:p w:rsidR="00154215" w:rsidRPr="00154215" w:rsidRDefault="00154215" w:rsidP="00154215">
            <w:pPr>
              <w:snapToGrid w:val="0"/>
              <w:spacing w:line="290" w:lineRule="atLeast"/>
              <w:ind w:firstLineChars="200" w:firstLine="420"/>
              <w:rPr>
                <w:rFonts w:ascii="SimSun" w:hAnsi="SimSun"/>
                <w:szCs w:val="21"/>
              </w:rPr>
            </w:pPr>
            <w:r w:rsidRPr="00154215">
              <w:rPr>
                <w:rFonts w:ascii="SimSun" w:hAnsi="SimSun" w:hint="eastAsia"/>
                <w:szCs w:val="21"/>
              </w:rPr>
              <w:t>二、联网企业应根据企业实际情况，顺序使用《归并规则》中的6项规则，主管海关在审核归并关系时予以核实。</w:t>
            </w:r>
          </w:p>
          <w:p w:rsidR="00154215" w:rsidRPr="00154215" w:rsidRDefault="00154215" w:rsidP="00154215">
            <w:pPr>
              <w:snapToGrid w:val="0"/>
              <w:spacing w:line="290" w:lineRule="atLeast"/>
              <w:ind w:firstLineChars="200" w:firstLine="420"/>
              <w:rPr>
                <w:rFonts w:ascii="SimSun" w:hAnsi="SimSun"/>
                <w:szCs w:val="21"/>
              </w:rPr>
            </w:pPr>
            <w:r w:rsidRPr="00154215">
              <w:rPr>
                <w:rFonts w:ascii="SimSun" w:hAnsi="SimSun" w:hint="eastAsia"/>
                <w:szCs w:val="21"/>
              </w:rPr>
              <w:t>三、自本公告实施之日起，新的联网企业应按《归并规则》备案、变更电子账册。</w:t>
            </w:r>
          </w:p>
          <w:p w:rsidR="00154215" w:rsidRPr="00154215" w:rsidRDefault="00154215" w:rsidP="00154215">
            <w:pPr>
              <w:snapToGrid w:val="0"/>
              <w:spacing w:line="290" w:lineRule="atLeast"/>
              <w:ind w:firstLineChars="200" w:firstLine="444"/>
              <w:rPr>
                <w:rFonts w:ascii="SimSun" w:hAnsi="SimSun"/>
                <w:spacing w:val="6"/>
                <w:szCs w:val="21"/>
              </w:rPr>
            </w:pPr>
            <w:r w:rsidRPr="00154215">
              <w:rPr>
                <w:rFonts w:ascii="SimSun" w:hAnsi="SimSun" w:hint="eastAsia"/>
                <w:spacing w:val="6"/>
                <w:szCs w:val="21"/>
              </w:rPr>
              <w:t>四、现有联网企业正在执行的电子账册如不符合《归并规则》，应在</w:t>
            </w:r>
            <w:smartTag w:uri="urn:schemas-microsoft-com:office:smarttags" w:element="chsdate">
              <w:smartTagPr>
                <w:attr w:name="Year" w:val="2011"/>
                <w:attr w:name="Month" w:val="12"/>
                <w:attr w:name="Day" w:val="31"/>
                <w:attr w:name="IsLunarDate" w:val="False"/>
                <w:attr w:name="IsROCDate" w:val="False"/>
              </w:smartTagPr>
              <w:r w:rsidRPr="00154215">
                <w:rPr>
                  <w:rFonts w:ascii="SimSun" w:hAnsi="SimSun" w:hint="eastAsia"/>
                  <w:spacing w:val="6"/>
                  <w:szCs w:val="21"/>
                </w:rPr>
                <w:t>2011年12月31日前</w:t>
              </w:r>
            </w:smartTag>
            <w:r w:rsidRPr="00154215">
              <w:rPr>
                <w:rFonts w:ascii="SimSun" w:hAnsi="SimSun" w:hint="eastAsia"/>
                <w:spacing w:val="6"/>
                <w:szCs w:val="21"/>
              </w:rPr>
              <w:t>按《归并规则》向海关申请备案一本新的电子账册。新的电子账册备案后，原电子账册在余料结转到新的电子账册并通过核销后，予以注销。受加工贸易信息化管理辅助平台建设进度影响暂时无法适用第四条规则的联网企业，目前仍维持现行做法，执行《归并规则》时间由各直属海关根据平台建设进度另行公告。</w:t>
            </w:r>
          </w:p>
          <w:p w:rsidR="00154215" w:rsidRPr="00C81DED" w:rsidRDefault="00154215" w:rsidP="00C81DED">
            <w:pPr>
              <w:snapToGrid w:val="0"/>
              <w:spacing w:line="290" w:lineRule="atLeast"/>
              <w:ind w:firstLineChars="200" w:firstLine="460"/>
              <w:rPr>
                <w:rFonts w:ascii="SimSun" w:hAnsi="SimSun"/>
                <w:spacing w:val="10"/>
                <w:szCs w:val="21"/>
              </w:rPr>
            </w:pPr>
            <w:r w:rsidRPr="00C81DED">
              <w:rPr>
                <w:rFonts w:ascii="SimSun" w:hAnsi="SimSun" w:hint="eastAsia"/>
                <w:spacing w:val="10"/>
                <w:szCs w:val="21"/>
              </w:rPr>
              <w:t>五、主料是指构成加工成品的主要进口料件，非主料是指构成加工成品的其他进口料件。采用计算机系统按照进口料件重要程度实施分类管理的联网企业，可向主管海关申请区分主料和非主料实施监管。主管海关以进口料件的贸易管制条件、价值、单耗等因素，按监管需要认定主料和非</w:t>
            </w:r>
            <w:r w:rsidRPr="00C81DED">
              <w:rPr>
                <w:rFonts w:ascii="SimSun" w:hAnsi="SimSun" w:hint="eastAsia"/>
                <w:spacing w:val="10"/>
                <w:szCs w:val="21"/>
              </w:rPr>
              <w:lastRenderedPageBreak/>
              <w:t>主料。</w:t>
            </w:r>
          </w:p>
          <w:p w:rsidR="00154215" w:rsidRPr="00C81DED" w:rsidRDefault="00154215" w:rsidP="00C81DED">
            <w:pPr>
              <w:snapToGrid w:val="0"/>
              <w:spacing w:line="290" w:lineRule="atLeast"/>
              <w:ind w:firstLineChars="200" w:firstLine="500"/>
              <w:rPr>
                <w:rFonts w:ascii="SimSun" w:hAnsi="SimSun"/>
                <w:spacing w:val="20"/>
                <w:szCs w:val="21"/>
              </w:rPr>
            </w:pPr>
            <w:r w:rsidRPr="00C81DED">
              <w:rPr>
                <w:rFonts w:ascii="SimSun" w:hAnsi="SimSun" w:hint="eastAsia"/>
                <w:spacing w:val="20"/>
                <w:szCs w:val="21"/>
              </w:rPr>
              <w:t>六、加工贸易信息化管理辅助平台是指配合加工贸易联网监管电子账册系统建立的、能够辅助海关对多个加工贸易联网监管企业实施料号级商品核销核算的信息化管理平台。该信息化管理平台投入运行前，应通过海关总署组织的验收。</w:t>
            </w:r>
          </w:p>
          <w:p w:rsidR="00154215" w:rsidRPr="00154215" w:rsidRDefault="00154215" w:rsidP="00154215">
            <w:pPr>
              <w:snapToGrid w:val="0"/>
              <w:spacing w:line="290" w:lineRule="atLeast"/>
              <w:ind w:firstLineChars="200" w:firstLine="420"/>
              <w:rPr>
                <w:rFonts w:ascii="SimSun" w:hAnsi="SimSun"/>
                <w:szCs w:val="21"/>
              </w:rPr>
            </w:pPr>
            <w:r w:rsidRPr="00154215">
              <w:rPr>
                <w:rFonts w:ascii="SimSun" w:hAnsi="SimSun" w:hint="eastAsia"/>
                <w:szCs w:val="21"/>
              </w:rPr>
              <w:t>七、本公告内容自2010年９月1日起实施。</w:t>
            </w:r>
          </w:p>
          <w:p w:rsidR="00154215" w:rsidRPr="00154215" w:rsidRDefault="00154215" w:rsidP="00154215">
            <w:pPr>
              <w:snapToGrid w:val="0"/>
              <w:spacing w:line="290" w:lineRule="atLeast"/>
              <w:ind w:firstLineChars="200" w:firstLine="420"/>
              <w:rPr>
                <w:rFonts w:ascii="SimSun" w:hAnsi="SimSun" w:hint="eastAsia"/>
                <w:szCs w:val="21"/>
              </w:rPr>
            </w:pPr>
          </w:p>
          <w:p w:rsidR="00154215" w:rsidRPr="00154215" w:rsidRDefault="00154215" w:rsidP="00154215">
            <w:pPr>
              <w:snapToGrid w:val="0"/>
              <w:spacing w:line="290" w:lineRule="atLeast"/>
              <w:ind w:firstLineChars="200" w:firstLine="420"/>
              <w:rPr>
                <w:rFonts w:ascii="SimSun" w:hAnsi="SimSun"/>
                <w:szCs w:val="21"/>
              </w:rPr>
            </w:pPr>
            <w:r w:rsidRPr="00154215">
              <w:rPr>
                <w:rFonts w:ascii="SimSun" w:hAnsi="SimSun" w:hint="eastAsia"/>
                <w:szCs w:val="21"/>
              </w:rPr>
              <w:t>特此公告。</w:t>
            </w:r>
          </w:p>
          <w:p w:rsidR="00154215" w:rsidRPr="00154215" w:rsidRDefault="00154215" w:rsidP="00154215">
            <w:pPr>
              <w:snapToGrid w:val="0"/>
              <w:spacing w:line="290" w:lineRule="atLeast"/>
              <w:ind w:firstLineChars="200" w:firstLine="420"/>
              <w:rPr>
                <w:rFonts w:ascii="SimSun" w:hAnsi="SimSun"/>
                <w:szCs w:val="21"/>
              </w:rPr>
            </w:pP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附件：加工贸易联网监管进出口商品归并规则（试行）</w:t>
            </w:r>
          </w:p>
          <w:p w:rsidR="00154215" w:rsidRPr="00154215" w:rsidRDefault="00154215" w:rsidP="00154215">
            <w:pPr>
              <w:snapToGrid w:val="0"/>
              <w:spacing w:line="290" w:lineRule="atLeast"/>
              <w:ind w:firstLineChars="200" w:firstLine="420"/>
              <w:rPr>
                <w:rFonts w:ascii="SimSun" w:hAnsi="SimSun"/>
                <w:szCs w:val="21"/>
              </w:rPr>
            </w:pPr>
          </w:p>
          <w:p w:rsidR="00154215" w:rsidRPr="00154215" w:rsidRDefault="00154215" w:rsidP="00C81DED">
            <w:pPr>
              <w:snapToGrid w:val="0"/>
              <w:spacing w:line="290" w:lineRule="atLeast"/>
              <w:jc w:val="right"/>
              <w:rPr>
                <w:rFonts w:ascii="SimSun" w:hAnsi="SimSun" w:hint="eastAsia"/>
                <w:szCs w:val="21"/>
              </w:rPr>
            </w:pPr>
            <w:r w:rsidRPr="00154215">
              <w:rPr>
                <w:rFonts w:ascii="SimSun" w:hAnsi="SimSun" w:hint="eastAsia"/>
                <w:szCs w:val="21"/>
              </w:rPr>
              <w:t>二○一○年</w:t>
            </w:r>
            <w:smartTag w:uri="urn:schemas-microsoft-com:office:smarttags" w:element="chsdate">
              <w:smartTagPr>
                <w:attr w:name="Year" w:val="2010"/>
                <w:attr w:name="Month" w:val="8"/>
                <w:attr w:name="Day" w:val="24"/>
                <w:attr w:name="IsLunarDate" w:val="False"/>
                <w:attr w:name="IsROCDate" w:val="False"/>
              </w:smartTagPr>
              <w:r w:rsidRPr="00154215">
                <w:rPr>
                  <w:rFonts w:ascii="SimSun" w:hAnsi="SimSun" w:hint="eastAsia"/>
                  <w:szCs w:val="21"/>
                </w:rPr>
                <w:t>八月二十四日</w:t>
              </w:r>
            </w:smartTag>
          </w:p>
          <w:p w:rsidR="00154215" w:rsidRDefault="00154215" w:rsidP="00154215">
            <w:pPr>
              <w:snapToGrid w:val="0"/>
              <w:spacing w:line="290" w:lineRule="atLeast"/>
              <w:ind w:firstLineChars="200" w:firstLine="420"/>
              <w:rPr>
                <w:rFonts w:ascii="SimSun" w:eastAsiaTheme="minorEastAsia" w:hAnsi="SimSun" w:hint="eastAsia"/>
                <w:szCs w:val="21"/>
                <w:lang w:eastAsia="ko-KR"/>
              </w:rPr>
            </w:pPr>
          </w:p>
          <w:p w:rsidR="00C81DED" w:rsidRPr="00C81DED" w:rsidRDefault="00C81DED" w:rsidP="00154215">
            <w:pPr>
              <w:snapToGrid w:val="0"/>
              <w:spacing w:line="290" w:lineRule="atLeast"/>
              <w:ind w:firstLineChars="200" w:firstLine="420"/>
              <w:rPr>
                <w:rFonts w:ascii="SimSun" w:eastAsiaTheme="minorEastAsia" w:hAnsi="SimSun" w:hint="eastAsia"/>
                <w:szCs w:val="21"/>
                <w:lang w:eastAsia="ko-KR"/>
              </w:rPr>
            </w:pP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附件：</w:t>
            </w:r>
          </w:p>
          <w:p w:rsidR="00154215" w:rsidRPr="00154215" w:rsidRDefault="00154215" w:rsidP="00154215">
            <w:pPr>
              <w:snapToGrid w:val="0"/>
              <w:spacing w:line="290" w:lineRule="atLeast"/>
              <w:rPr>
                <w:rFonts w:ascii="SimSun" w:hAnsi="SimSun" w:hint="eastAsia"/>
                <w:szCs w:val="21"/>
              </w:rPr>
            </w:pPr>
          </w:p>
          <w:p w:rsidR="00154215" w:rsidRPr="00154215" w:rsidRDefault="00154215" w:rsidP="00154215">
            <w:pPr>
              <w:snapToGrid w:val="0"/>
              <w:spacing w:line="290" w:lineRule="atLeast"/>
              <w:jc w:val="center"/>
              <w:rPr>
                <w:rFonts w:ascii="SimSun" w:hAnsi="SimSun" w:hint="eastAsia"/>
                <w:b/>
                <w:szCs w:val="21"/>
              </w:rPr>
            </w:pPr>
            <w:r w:rsidRPr="00154215">
              <w:rPr>
                <w:rFonts w:ascii="SimSun" w:hAnsi="SimSun" w:hint="eastAsia"/>
                <w:b/>
                <w:szCs w:val="21"/>
              </w:rPr>
              <w:t>加工贸易联网监管进出口商品归并规则</w:t>
            </w:r>
          </w:p>
          <w:p w:rsidR="00154215" w:rsidRPr="00154215" w:rsidRDefault="00154215" w:rsidP="00154215">
            <w:pPr>
              <w:snapToGrid w:val="0"/>
              <w:spacing w:line="290" w:lineRule="atLeast"/>
              <w:jc w:val="center"/>
              <w:rPr>
                <w:rFonts w:ascii="SimSun" w:hAnsi="SimSun" w:hint="eastAsia"/>
                <w:b/>
                <w:szCs w:val="21"/>
              </w:rPr>
            </w:pPr>
            <w:r w:rsidRPr="00154215">
              <w:rPr>
                <w:rFonts w:ascii="SimSun" w:hAnsi="SimSun" w:hint="eastAsia"/>
                <w:b/>
                <w:szCs w:val="21"/>
              </w:rPr>
              <w:t>（试行）</w:t>
            </w:r>
          </w:p>
          <w:p w:rsidR="00154215" w:rsidRPr="00154215" w:rsidRDefault="00154215" w:rsidP="00154215">
            <w:pPr>
              <w:snapToGrid w:val="0"/>
              <w:spacing w:line="290" w:lineRule="atLeast"/>
              <w:ind w:firstLineChars="200" w:firstLine="420"/>
              <w:rPr>
                <w:rFonts w:ascii="SimSun" w:hAnsi="SimSun" w:hint="eastAsia"/>
                <w:szCs w:val="21"/>
              </w:rPr>
            </w:pPr>
          </w:p>
          <w:p w:rsidR="00154215" w:rsidRPr="00154215" w:rsidRDefault="00154215" w:rsidP="00154215">
            <w:pPr>
              <w:snapToGrid w:val="0"/>
              <w:spacing w:line="290" w:lineRule="atLeast"/>
              <w:ind w:firstLineChars="200" w:firstLine="420"/>
              <w:rPr>
                <w:rFonts w:ascii="SimSun" w:hAnsi="SimSun" w:hint="eastAsia"/>
                <w:szCs w:val="21"/>
              </w:rPr>
            </w:pP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加工贸易联网监管企业（以下简称“联网企业”）电子账册备案、变更时，对进口料件和出口成品进行归并，应遵循以下规则：</w:t>
            </w:r>
          </w:p>
          <w:p w:rsidR="00154215" w:rsidRPr="00154215" w:rsidRDefault="00154215" w:rsidP="00154215">
            <w:pPr>
              <w:snapToGrid w:val="0"/>
              <w:spacing w:line="290" w:lineRule="atLeast"/>
              <w:ind w:firstLineChars="200" w:firstLine="422"/>
              <w:rPr>
                <w:rFonts w:ascii="SimSun" w:hAnsi="SimSun" w:hint="eastAsia"/>
                <w:szCs w:val="21"/>
              </w:rPr>
            </w:pPr>
            <w:r w:rsidRPr="00154215">
              <w:rPr>
                <w:rFonts w:ascii="SimSun" w:hAnsi="SimSun" w:hint="eastAsia"/>
                <w:b/>
                <w:szCs w:val="21"/>
              </w:rPr>
              <w:t>第一条</w:t>
            </w:r>
            <w:r w:rsidRPr="00154215">
              <w:rPr>
                <w:rFonts w:ascii="SimSun" w:hAnsi="SimSun" w:hint="eastAsia"/>
                <w:szCs w:val="21"/>
              </w:rPr>
              <w:t xml:space="preserve">  电子账册备案、变更时，联网企业应以内部管理的料号级商品为基础，按照《中华人民共和国进出口税则》规定的目录条文和归类总规则、类注、章注、子目注释以及其他归类注释，进行商品归类，并归入相应的税则号列，经海关审核确定后，在企业内部管理的料号级商品与电子账册备案的项号级商品之间建立一一对应关系。</w:t>
            </w:r>
          </w:p>
          <w:p w:rsidR="00154215" w:rsidRPr="00857D80" w:rsidRDefault="00154215" w:rsidP="00857D80">
            <w:pPr>
              <w:snapToGrid w:val="0"/>
              <w:spacing w:line="290" w:lineRule="atLeast"/>
              <w:ind w:firstLineChars="200" w:firstLine="454"/>
              <w:rPr>
                <w:rFonts w:ascii="SimSun" w:hAnsi="SimSun" w:hint="eastAsia"/>
                <w:spacing w:val="8"/>
                <w:szCs w:val="21"/>
              </w:rPr>
            </w:pPr>
            <w:r w:rsidRPr="00857D80">
              <w:rPr>
                <w:rFonts w:ascii="SimSun" w:hAnsi="SimSun" w:hint="eastAsia"/>
                <w:b/>
                <w:spacing w:val="8"/>
                <w:szCs w:val="21"/>
              </w:rPr>
              <w:t>第二条</w:t>
            </w:r>
            <w:r w:rsidRPr="00857D80">
              <w:rPr>
                <w:rFonts w:ascii="SimSun" w:hAnsi="SimSun" w:hint="eastAsia"/>
                <w:spacing w:val="8"/>
                <w:szCs w:val="21"/>
              </w:rPr>
              <w:t xml:space="preserve">  电子账册备案、变更时，受海关监管资源限制无法实现料号级商品与项号级商品一一对应、需要建立多对一归并关系的，进口料件根据实际情况分别按第三条、第四条、第五条处理；出口成品按第六条处理。</w:t>
            </w:r>
          </w:p>
          <w:p w:rsidR="00154215" w:rsidRPr="00857D80" w:rsidRDefault="00154215" w:rsidP="00857D80">
            <w:pPr>
              <w:snapToGrid w:val="0"/>
              <w:spacing w:line="290" w:lineRule="atLeast"/>
              <w:ind w:firstLineChars="200" w:firstLine="550"/>
              <w:rPr>
                <w:rFonts w:ascii="SimSun" w:hAnsi="SimSun" w:hint="eastAsia"/>
                <w:spacing w:val="32"/>
                <w:szCs w:val="21"/>
              </w:rPr>
            </w:pPr>
            <w:r w:rsidRPr="00857D80">
              <w:rPr>
                <w:rFonts w:ascii="SimSun" w:hAnsi="SimSun" w:hint="eastAsia"/>
                <w:b/>
                <w:spacing w:val="32"/>
                <w:szCs w:val="21"/>
              </w:rPr>
              <w:lastRenderedPageBreak/>
              <w:t>第三条</w:t>
            </w:r>
            <w:r w:rsidRPr="00857D80">
              <w:rPr>
                <w:rFonts w:ascii="SimSun" w:hAnsi="SimSun" w:hint="eastAsia"/>
                <w:spacing w:val="32"/>
                <w:szCs w:val="21"/>
              </w:rPr>
              <w:t xml:space="preserve">  联网企业的计算机系统能够按照进口料件重要程度实施分类管理，并且经主管海关认定其进口料件可以区分主料与非主料实施监管的，主料建立一一对应关系，非主料可按第五条建立多对一归并关系。</w:t>
            </w:r>
          </w:p>
          <w:p w:rsidR="00154215" w:rsidRPr="00857D80" w:rsidRDefault="00154215" w:rsidP="00857D80">
            <w:pPr>
              <w:snapToGrid w:val="0"/>
              <w:spacing w:line="290" w:lineRule="atLeast"/>
              <w:ind w:firstLineChars="200" w:firstLine="462"/>
              <w:rPr>
                <w:rFonts w:ascii="SimSun" w:hAnsi="SimSun" w:hint="eastAsia"/>
                <w:spacing w:val="10"/>
                <w:szCs w:val="21"/>
              </w:rPr>
            </w:pPr>
            <w:r w:rsidRPr="00857D80">
              <w:rPr>
                <w:rFonts w:ascii="SimSun" w:hAnsi="SimSun" w:hint="eastAsia"/>
                <w:b/>
                <w:spacing w:val="10"/>
                <w:szCs w:val="21"/>
              </w:rPr>
              <w:t>第四条</w:t>
            </w:r>
            <w:r w:rsidRPr="00857D80">
              <w:rPr>
                <w:rFonts w:ascii="SimSun" w:hAnsi="SimSun" w:hint="eastAsia"/>
                <w:spacing w:val="10"/>
                <w:szCs w:val="21"/>
              </w:rPr>
              <w:t xml:space="preserve">  海关运用加工贸易信息化管理辅助平台实现料号级核销核算的，可按第五条建立多对一归并关系。</w:t>
            </w:r>
          </w:p>
          <w:p w:rsidR="00154215" w:rsidRPr="00154215" w:rsidRDefault="00154215" w:rsidP="00154215">
            <w:pPr>
              <w:snapToGrid w:val="0"/>
              <w:spacing w:line="290" w:lineRule="atLeast"/>
              <w:ind w:firstLineChars="200" w:firstLine="422"/>
              <w:rPr>
                <w:rFonts w:ascii="SimSun" w:hAnsi="SimSun" w:hint="eastAsia"/>
                <w:szCs w:val="21"/>
              </w:rPr>
            </w:pPr>
            <w:r w:rsidRPr="00154215">
              <w:rPr>
                <w:rFonts w:ascii="SimSun" w:hAnsi="SimSun" w:hint="eastAsia"/>
                <w:b/>
                <w:szCs w:val="21"/>
              </w:rPr>
              <w:t>第五条</w:t>
            </w:r>
            <w:r w:rsidRPr="00154215">
              <w:rPr>
                <w:rFonts w:ascii="SimSun" w:hAnsi="SimSun" w:hint="eastAsia"/>
                <w:szCs w:val="21"/>
              </w:rPr>
              <w:t xml:space="preserve">  料号级料件同时满足以下条件的，可予以归并：</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1. 10位商品编码相同；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2. 申报计量单位相同；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3. 中文商品名称相同；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4. 符合规范申报的要求。</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其中，根据相关规定可予保税的消耗性物料与其他保税料件不得归并；因管理需要，海关或企业认为需要单列的商品不得归并。</w:t>
            </w:r>
          </w:p>
          <w:p w:rsidR="00154215" w:rsidRPr="00154215" w:rsidRDefault="00154215" w:rsidP="00154215">
            <w:pPr>
              <w:snapToGrid w:val="0"/>
              <w:spacing w:line="290" w:lineRule="atLeast"/>
              <w:ind w:firstLineChars="200" w:firstLine="422"/>
              <w:rPr>
                <w:rFonts w:ascii="SimSun" w:hAnsi="SimSun" w:hint="eastAsia"/>
                <w:szCs w:val="21"/>
              </w:rPr>
            </w:pPr>
            <w:r w:rsidRPr="00154215">
              <w:rPr>
                <w:rFonts w:ascii="SimSun" w:hAnsi="SimSun" w:hint="eastAsia"/>
                <w:b/>
                <w:szCs w:val="21"/>
              </w:rPr>
              <w:t>第六条</w:t>
            </w:r>
            <w:r w:rsidRPr="00154215">
              <w:rPr>
                <w:rFonts w:ascii="SimSun" w:hAnsi="SimSun" w:hint="eastAsia"/>
                <w:szCs w:val="21"/>
              </w:rPr>
              <w:t xml:space="preserve">  出口成品采用成品版本号进行备案和申报，如同时满足以下条件的可予以归并：</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1. 10位商品编码相同；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2. 申报计量单位相同；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3. 中文商品名称相同；</w:t>
            </w:r>
          </w:p>
          <w:p w:rsidR="00154215" w:rsidRPr="00154215" w:rsidRDefault="00154215" w:rsidP="00154215">
            <w:pPr>
              <w:snapToGrid w:val="0"/>
              <w:spacing w:line="290" w:lineRule="atLeast"/>
              <w:ind w:firstLineChars="200" w:firstLine="420"/>
              <w:rPr>
                <w:rFonts w:ascii="SimSun" w:hAnsi="SimSun" w:hint="eastAsia"/>
                <w:szCs w:val="21"/>
              </w:rPr>
            </w:pPr>
            <w:r w:rsidRPr="00154215">
              <w:rPr>
                <w:rFonts w:ascii="SimSun" w:hAnsi="SimSun" w:hint="eastAsia"/>
                <w:szCs w:val="21"/>
              </w:rPr>
              <w:t>4. 符合规范申报的要求。</w:t>
            </w:r>
          </w:p>
          <w:p w:rsidR="00154215" w:rsidRPr="00857D80" w:rsidRDefault="00154215" w:rsidP="00857D80">
            <w:pPr>
              <w:snapToGrid w:val="0"/>
              <w:spacing w:line="290" w:lineRule="atLeast"/>
              <w:ind w:firstLineChars="200" w:firstLine="540"/>
              <w:rPr>
                <w:rFonts w:ascii="SimSun" w:hAnsi="SimSun"/>
                <w:spacing w:val="30"/>
                <w:szCs w:val="21"/>
              </w:rPr>
            </w:pPr>
            <w:r w:rsidRPr="00857D80">
              <w:rPr>
                <w:rFonts w:ascii="SimSun" w:hAnsi="SimSun" w:hint="eastAsia"/>
                <w:spacing w:val="30"/>
                <w:szCs w:val="21"/>
              </w:rPr>
              <w:t>其中，涉及单耗标准与不涉及单耗标准的料号级成品不得归并；因管理需要，海关或企业认为需要单列的商品不得归并。</w:t>
            </w:r>
          </w:p>
          <w:p w:rsidR="00B35B6D" w:rsidRPr="00154215" w:rsidRDefault="00B35B6D" w:rsidP="00154215">
            <w:pPr>
              <w:snapToGrid w:val="0"/>
              <w:spacing w:line="290" w:lineRule="atLeast"/>
              <w:rPr>
                <w:rFonts w:ascii="SimSun" w:hAnsi="SimSun"/>
                <w:szCs w:val="21"/>
              </w:rPr>
            </w:pPr>
          </w:p>
        </w:tc>
      </w:tr>
    </w:tbl>
    <w:p w:rsidR="00B35B6D" w:rsidRDefault="00B35B6D"/>
    <w:sectPr w:rsidR="00B35B6D" w:rsidSect="00B35B6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D8" w:rsidRDefault="001757D8" w:rsidP="00B35B6D">
      <w:r>
        <w:separator/>
      </w:r>
    </w:p>
  </w:endnote>
  <w:endnote w:type="continuationSeparator" w:id="1">
    <w:p w:rsidR="001757D8" w:rsidRDefault="001757D8" w:rsidP="00B35B6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D8" w:rsidRDefault="001757D8" w:rsidP="00B35B6D">
      <w:r>
        <w:separator/>
      </w:r>
    </w:p>
  </w:footnote>
  <w:footnote w:type="continuationSeparator" w:id="1">
    <w:p w:rsidR="001757D8" w:rsidRDefault="001757D8" w:rsidP="00B3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B6D"/>
    <w:rsid w:val="00154215"/>
    <w:rsid w:val="001757D8"/>
    <w:rsid w:val="00446B8B"/>
    <w:rsid w:val="00857D80"/>
    <w:rsid w:val="00B35B6D"/>
    <w:rsid w:val="00C81D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6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B6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35B6D"/>
  </w:style>
  <w:style w:type="paragraph" w:styleId="a4">
    <w:name w:val="footer"/>
    <w:basedOn w:val="a"/>
    <w:link w:val="Char0"/>
    <w:uiPriority w:val="99"/>
    <w:semiHidden/>
    <w:unhideWhenUsed/>
    <w:rsid w:val="00B35B6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35B6D"/>
  </w:style>
  <w:style w:type="table" w:styleId="a5">
    <w:name w:val="Table Grid"/>
    <w:basedOn w:val="a1"/>
    <w:uiPriority w:val="59"/>
    <w:rsid w:val="00B35B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631</Words>
  <Characters>3603</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2010-09-09T03:52:00Z</dcterms:created>
  <dcterms:modified xsi:type="dcterms:W3CDTF">2010-09-09T04:07:00Z</dcterms:modified>
</cp:coreProperties>
</file>