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CA31FE" w:rsidTr="00ED742C">
        <w:tc>
          <w:tcPr>
            <w:tcW w:w="4785" w:type="dxa"/>
          </w:tcPr>
          <w:p w:rsidR="00FC63CE" w:rsidRPr="00556A77" w:rsidRDefault="00FC63CE" w:rsidP="00556A77">
            <w:pPr>
              <w:wordWrap w:val="0"/>
              <w:topLinePunct/>
              <w:autoSpaceDN w:val="0"/>
              <w:snapToGrid w:val="0"/>
              <w:spacing w:line="290" w:lineRule="atLeast"/>
              <w:ind w:firstLineChars="100" w:firstLine="255"/>
              <w:jc w:val="center"/>
              <w:rPr>
                <w:rFonts w:ascii="한컴바탕" w:eastAsia="한컴바탕" w:hAnsi="한컴바탕" w:cs="한컴바탕" w:hint="eastAsia"/>
                <w:b/>
                <w:sz w:val="26"/>
                <w:szCs w:val="26"/>
                <w:lang w:eastAsia="ko-KR"/>
              </w:rPr>
            </w:pPr>
            <w:r w:rsidRPr="00556A77">
              <w:rPr>
                <w:rFonts w:ascii="한컴바탕" w:eastAsia="한컴바탕" w:hAnsi="한컴바탕" w:cs="한컴바탕" w:hint="eastAsia"/>
                <w:b/>
                <w:sz w:val="26"/>
                <w:szCs w:val="26"/>
                <w:lang w:eastAsia="ko-KR"/>
              </w:rPr>
              <w:t>국가외환관리국 외환업무관리 강화 유관</w:t>
            </w:r>
            <w:r w:rsidR="00556A77">
              <w:rPr>
                <w:rFonts w:ascii="한컴바탕" w:eastAsia="한컴바탕" w:hAnsi="한컴바탕" w:cs="한컴바탕" w:hint="eastAsia"/>
                <w:b/>
                <w:sz w:val="26"/>
                <w:szCs w:val="26"/>
                <w:lang w:eastAsia="ko-KR"/>
              </w:rPr>
              <w:t xml:space="preserve"> </w:t>
            </w:r>
            <w:r w:rsidRPr="00556A77">
              <w:rPr>
                <w:rFonts w:ascii="한컴바탕" w:eastAsia="한컴바탕" w:hAnsi="한컴바탕" w:cs="한컴바탕" w:hint="eastAsia"/>
                <w:b/>
                <w:sz w:val="26"/>
                <w:szCs w:val="26"/>
                <w:lang w:eastAsia="ko-KR"/>
              </w:rPr>
              <w:t>문제에 관한 통지</w:t>
            </w:r>
          </w:p>
          <w:p w:rsidR="00FC63CE" w:rsidRPr="00556A77" w:rsidRDefault="00FC63CE" w:rsidP="00556A77">
            <w:pPr>
              <w:wordWrap w:val="0"/>
              <w:topLinePunct/>
              <w:autoSpaceDN w:val="0"/>
              <w:snapToGrid w:val="0"/>
              <w:spacing w:line="290" w:lineRule="atLeast"/>
              <w:ind w:firstLineChars="100" w:firstLine="210"/>
              <w:jc w:val="center"/>
              <w:rPr>
                <w:rFonts w:ascii="한컴바탕" w:eastAsia="한컴바탕" w:hAnsi="한컴바탕" w:cs="한컴바탕" w:hint="eastAsia"/>
                <w:szCs w:val="21"/>
                <w:lang w:eastAsia="ko-KR"/>
              </w:rPr>
            </w:pPr>
            <w:r w:rsidRPr="00556A77">
              <w:rPr>
                <w:rFonts w:ascii="한컴바탕" w:eastAsia="한컴바탕" w:hAnsi="한컴바탕" w:cs="한컴바탕" w:hint="eastAsia"/>
                <w:szCs w:val="21"/>
                <w:lang w:eastAsia="ko-KR"/>
              </w:rPr>
              <w:t>회발[2010]59호, 2010년11월 9일</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FC63CE" w:rsidRPr="006E268F" w:rsidRDefault="00FC63CE" w:rsidP="006E268F">
            <w:pPr>
              <w:wordWrap w:val="0"/>
              <w:topLinePunct/>
              <w:autoSpaceDN w:val="0"/>
              <w:adjustRightInd w:val="0"/>
              <w:snapToGrid w:val="0"/>
              <w:spacing w:line="290" w:lineRule="atLeast"/>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국가외환관리국 각 성, 자치구, 직할시분국, 외환관리부, 심천, 대련, 청도, 하문, 영파시 분국, 각 중국자본 외환지정은행:</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국제 자본유동으로</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인한</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금융 리스크를</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방지하기</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위해, 관련</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외환업무관리문제를</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다음과</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같이</w:t>
            </w:r>
            <w:r w:rsidRPr="006E268F">
              <w:rPr>
                <w:rFonts w:ascii="한컴바탕" w:eastAsia="한컴바탕" w:hAnsi="한컴바탕" w:cs="한컴바탕"/>
                <w:szCs w:val="21"/>
                <w:lang w:eastAsia="ko-KR"/>
              </w:rPr>
              <w:t xml:space="preserve"> </w:t>
            </w:r>
            <w:r w:rsidRPr="006E268F">
              <w:rPr>
                <w:rFonts w:ascii="한컴바탕" w:eastAsia="한컴바탕" w:hAnsi="한컴바탕" w:cs="한컴바탕" w:hint="eastAsia"/>
                <w:szCs w:val="21"/>
                <w:lang w:eastAsia="ko-KR"/>
              </w:rPr>
              <w:t xml:space="preserve">통지한다. </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 xml:space="preserve">1. 은행의 외환결제 및 매도 종합 자금유통 관리를 강화한다. 현재의 은행 외환결제 및 매도 종합 자금유통 한도액 관리를 기초로, 은행이 수입과 지출 실현제도의 원칙에 따라 계산된 자금유통 잔액에 대해 하한(下限)관리를 실행하고, 그 하한을 2010년 11월 8일 &lt;&lt;외환결제 및 매도 종합 자금유통 일일보고표&gt;&gt;중 </w:t>
            </w:r>
            <w:r w:rsidRPr="006E268F">
              <w:rPr>
                <w:rFonts w:ascii="한컴바탕" w:eastAsia="한컴바탕" w:hAnsi="한컴바탕" w:cs="한컴바탕"/>
                <w:szCs w:val="21"/>
                <w:lang w:eastAsia="ko-KR"/>
              </w:rPr>
              <w:t>“</w:t>
            </w:r>
            <w:r w:rsidRPr="006E268F">
              <w:rPr>
                <w:rFonts w:ascii="한컴바탕" w:eastAsia="한컴바탕" w:hAnsi="한컴바탕" w:cs="한컴바탕" w:hint="eastAsia"/>
                <w:szCs w:val="21"/>
                <w:lang w:eastAsia="ko-KR"/>
              </w:rPr>
              <w:t>당일 수입/지출 실현제 자금유통</w:t>
            </w:r>
            <w:r w:rsidRPr="006E268F">
              <w:rPr>
                <w:rFonts w:ascii="한컴바탕" w:eastAsia="한컴바탕" w:hAnsi="한컴바탕" w:cs="한컴바탕"/>
                <w:szCs w:val="21"/>
                <w:lang w:eastAsia="ko-KR"/>
              </w:rPr>
              <w:t>”</w:t>
            </w:r>
            <w:r w:rsidRPr="006E268F">
              <w:rPr>
                <w:rFonts w:ascii="한컴바탕" w:eastAsia="한컴바탕" w:hAnsi="한컴바탕" w:cs="한컴바탕" w:hint="eastAsia"/>
                <w:szCs w:val="21"/>
                <w:lang w:eastAsia="ko-KR"/>
              </w:rPr>
              <w:t xml:space="preserve">으로 한다. </w:t>
            </w:r>
          </w:p>
          <w:p w:rsidR="00FC63CE" w:rsidRPr="00556A77" w:rsidRDefault="00FC63CE" w:rsidP="00556A77">
            <w:pPr>
              <w:wordWrap w:val="0"/>
              <w:topLinePunct/>
              <w:autoSpaceDN w:val="0"/>
              <w:adjustRightInd w:val="0"/>
              <w:snapToGrid w:val="0"/>
              <w:spacing w:line="290" w:lineRule="atLeast"/>
              <w:ind w:firstLineChars="100" w:firstLine="190"/>
              <w:rPr>
                <w:rFonts w:ascii="한컴바탕" w:eastAsia="한컴바탕" w:hAnsi="한컴바탕" w:cs="한컴바탕" w:hint="eastAsia"/>
                <w:spacing w:val="-10"/>
                <w:szCs w:val="21"/>
                <w:lang w:eastAsia="ko-KR"/>
              </w:rPr>
            </w:pPr>
            <w:r w:rsidRPr="00556A77">
              <w:rPr>
                <w:rFonts w:ascii="한컴바탕" w:eastAsia="한컴바탕" w:hAnsi="한컴바탕" w:cs="한컴바탕" w:hint="eastAsia"/>
                <w:spacing w:val="-10"/>
                <w:szCs w:val="21"/>
                <w:lang w:eastAsia="ko-KR"/>
              </w:rPr>
              <w:t xml:space="preserve">2. 수출 외환결제/회수 네트워크 심사를 엄격하게 관리한다. </w:t>
            </w:r>
            <w:r w:rsidRPr="00556A77">
              <w:rPr>
                <w:rFonts w:ascii="한컴바탕" w:eastAsia="한컴바탕" w:hAnsi="한컴바탕" w:cs="한컴바탕"/>
                <w:spacing w:val="-10"/>
                <w:szCs w:val="21"/>
                <w:lang w:eastAsia="ko-KR"/>
              </w:rPr>
              <w:t>“</w:t>
            </w:r>
            <w:r w:rsidRPr="00556A77">
              <w:rPr>
                <w:rFonts w:ascii="한컴바탕" w:eastAsia="한컴바탕" w:hAnsi="한컴바탕" w:cs="한컴바탕" w:hint="eastAsia"/>
                <w:spacing w:val="-10"/>
                <w:szCs w:val="21"/>
                <w:lang w:eastAsia="ko-KR"/>
              </w:rPr>
              <w:t>기업의 수출데이터 전송으로 인한 시간차를 원인으로 외환회수 잔액이 일시적으로 부족한 경우, 은행은</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기업의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승낙설명서한에</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근거하여</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기업 심사처리 대기</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자금의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외환결제</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또는</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이체를</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먼저 할</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있다</w:t>
            </w:r>
            <w:r w:rsidRPr="00556A77">
              <w:rPr>
                <w:rFonts w:ascii="한컴바탕" w:eastAsia="한컴바탕" w:hAnsi="한컴바탕" w:cs="한컴바탕"/>
                <w:spacing w:val="-10"/>
                <w:szCs w:val="21"/>
                <w:lang w:eastAsia="ko-KR"/>
              </w:rPr>
              <w:t>”</w:t>
            </w:r>
            <w:r w:rsidRPr="00556A77">
              <w:rPr>
                <w:rFonts w:ascii="한컴바탕" w:eastAsia="한컴바탕" w:hAnsi="한컴바탕" w:cs="한컴바탕" w:hint="eastAsia"/>
                <w:spacing w:val="-10"/>
                <w:szCs w:val="21"/>
                <w:lang w:eastAsia="ko-KR"/>
              </w:rPr>
              <w:t>는 규정을 취소하고, 은행은</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기업이</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회수 가능한</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외화잔액에</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근거하여</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한도액</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내의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심사대기</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계좌자금의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결제</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또는</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이체를</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처리해야</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 xml:space="preserve">한다. 내료가공(来料加工)의 외환회수 비율을 30%에서 20%로 통일 조정하고, 내료가공 무역 항목의 단일 수출화물 세관신고서 실제 외환회수 비율이 20%를 초과하는 경우에 대해, 은행은 현행 내료가공에서 외환회수 비율초과 관련 규정에 따라 처리해야 한다. </w:t>
            </w:r>
          </w:p>
          <w:p w:rsidR="00FC63CE" w:rsidRPr="00556A77" w:rsidRDefault="00FC63CE" w:rsidP="00556A77">
            <w:pPr>
              <w:wordWrap w:val="0"/>
              <w:topLinePunct/>
              <w:autoSpaceDN w:val="0"/>
              <w:adjustRightInd w:val="0"/>
              <w:snapToGrid w:val="0"/>
              <w:spacing w:line="290" w:lineRule="atLeast"/>
              <w:ind w:firstLineChars="100" w:firstLine="198"/>
              <w:rPr>
                <w:rFonts w:ascii="한컴바탕" w:eastAsia="한컴바탕" w:hAnsi="한컴바탕" w:cs="한컴바탕" w:hint="eastAsia"/>
                <w:spacing w:val="-6"/>
                <w:szCs w:val="21"/>
                <w:lang w:eastAsia="ko-KR"/>
              </w:rPr>
            </w:pPr>
            <w:r w:rsidRPr="00556A77">
              <w:rPr>
                <w:rFonts w:ascii="한컴바탕" w:eastAsia="한컴바탕" w:hAnsi="한컴바탕" w:cs="한컴바탕" w:hint="eastAsia"/>
                <w:spacing w:val="-6"/>
                <w:szCs w:val="21"/>
                <w:lang w:eastAsia="ko-KR"/>
              </w:rPr>
              <w:t>3. 금융기구 단기외채 지표와 대외담보 잔액을 엄격하게 관리한다. 은행이 고객에게 장기 신용장을 개설한 후, 그 대금지급을 순차적으로 해외로 대납하는 경우, 만약 양자의 기한의 합이 90일을 초과한다면, 곧바로 해외대납 항목의 금액은 반드시 단기외채 잔액지표에 납입하고 통제한다. 외환국은 감독 관리되고 있는 데이터 수치와 은행 내부업무 데이터를 교차비교를 통하여 은행이 법규를 위반하여 단기외채 차용과 융자성 대외담보제공 등의 정황을 모니터링하여 조기경고한다.</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4. 대외상업투자기업의 경외투자자 출자에 대한 관리를 강화한다. 만약 실제 납부인과 외상투자기업의 경외투자자가 불일치하고 외상투</w:t>
            </w:r>
            <w:r w:rsidRPr="006E268F">
              <w:rPr>
                <w:rFonts w:ascii="한컴바탕" w:eastAsia="한컴바탕" w:hAnsi="한컴바탕" w:cs="한컴바탕" w:hint="eastAsia"/>
                <w:szCs w:val="21"/>
                <w:lang w:eastAsia="ko-KR"/>
              </w:rPr>
              <w:lastRenderedPageBreak/>
              <w:t>자기업이 위탁한 회계사무소가 외환국에 험자 확인 의뢰할 시, 공증받은 관련 대리 출자증명을 제출해야 한다.</w:t>
            </w:r>
          </w:p>
          <w:p w:rsidR="00FC63CE" w:rsidRPr="00556A77" w:rsidRDefault="00FC63CE" w:rsidP="00556A77">
            <w:pPr>
              <w:wordWrap w:val="0"/>
              <w:topLinePunct/>
              <w:autoSpaceDN w:val="0"/>
              <w:adjustRightInd w:val="0"/>
              <w:snapToGrid w:val="0"/>
              <w:spacing w:line="290" w:lineRule="atLeast"/>
              <w:ind w:firstLineChars="100" w:firstLine="190"/>
              <w:rPr>
                <w:rFonts w:ascii="한컴바탕" w:eastAsia="한컴바탕" w:hAnsi="한컴바탕" w:cs="한컴바탕" w:hint="eastAsia"/>
                <w:spacing w:val="-10"/>
                <w:szCs w:val="21"/>
                <w:lang w:eastAsia="ko-KR"/>
              </w:rPr>
            </w:pPr>
            <w:r w:rsidRPr="00556A77">
              <w:rPr>
                <w:rFonts w:ascii="한컴바탕" w:eastAsia="한컴바탕" w:hAnsi="한컴바탕" w:cs="한컴바탕" w:hint="eastAsia"/>
                <w:spacing w:val="-10"/>
                <w:szCs w:val="21"/>
                <w:lang w:eastAsia="ko-KR"/>
              </w:rPr>
              <w:t>5. 외환지불결산제도의 요구사항에 따라</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해외상장</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공모자금의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회수</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결제에</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대한</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진실성</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심사를</w:t>
            </w:r>
            <w:r w:rsidRPr="00556A77">
              <w:rPr>
                <w:rFonts w:ascii="한컴바탕" w:eastAsia="한컴바탕" w:hAnsi="한컴바탕" w:cs="한컴바탕"/>
                <w:spacing w:val="-10"/>
                <w:szCs w:val="21"/>
                <w:lang w:eastAsia="ko-KR"/>
              </w:rPr>
              <w:t xml:space="preserve"> </w:t>
            </w:r>
            <w:r w:rsidRPr="00556A77">
              <w:rPr>
                <w:rFonts w:ascii="한컴바탕" w:eastAsia="한컴바탕" w:hAnsi="한컴바탕" w:cs="한컴바탕" w:hint="eastAsia"/>
                <w:spacing w:val="-10"/>
                <w:szCs w:val="21"/>
                <w:lang w:eastAsia="ko-KR"/>
              </w:rPr>
              <w:t>강화한다</w:t>
            </w:r>
            <w:r w:rsidRPr="00556A77">
              <w:rPr>
                <w:rFonts w:ascii="한컴바탕" w:eastAsia="한컴바탕" w:hAnsi="한컴바탕" w:cs="한컴바탕"/>
                <w:spacing w:val="-10"/>
                <w:szCs w:val="21"/>
                <w:lang w:eastAsia="ko-KR"/>
              </w:rPr>
              <w:t>.</w:t>
            </w:r>
            <w:r w:rsidRPr="00556A77">
              <w:rPr>
                <w:rFonts w:ascii="한컴바탕" w:eastAsia="한컴바탕" w:hAnsi="한컴바탕" w:cs="한컴바탕" w:hint="eastAsia"/>
                <w:spacing w:val="-10"/>
                <w:szCs w:val="21"/>
                <w:lang w:eastAsia="ko-KR"/>
              </w:rPr>
              <w:t xml:space="preserve"> 진실성 증명자료는 외상투자기업 외환자본금 외환결제의 관련 외환관리규정을 참조하여 집행한다. 외환결제는 반드시 주식공모설명서에 나열한 용도에 부합해야 하고, 초과공모된 부분 또는 주식공모 설명서 용도에 부합하지 않는 부분은 별도로 그 결산용도와 관련한 동사회 결의를 제출해야 한다. 반드시 거래상대에게 외환결산 지불해야 하는 경우, 자신의 인민폐 계좌에 외환결산을 남겨둘 수 없다. </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 xml:space="preserve">6. 경내기구와 개인이 설립한 경외특수목적 공사에 대한 관리를 강화하고 위반기업과 개인에 대하여 처벌한다. </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7. 법에 의거하여 위반 은행에 대해 엄격한 처벌을 진행한다. 은행은 법에 의거하여 고객거래 진실성과 외환 수입지출의 일치성에 대한 심사허가를 강화해야 한다. 외환관리규정을 위반으로 인한 규정에 어긋난 자금이 유입된 은행에 대하여 외환국은 법에 의거하여 처벌하고, 경영 관련 업무를 정지하고, 비판 등을 통해 처벌하며 동시에 직접 책임이 있는 고급관리인원에 직접 관련 책임을 추궁한다.</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r w:rsidRPr="006E268F">
              <w:rPr>
                <w:rFonts w:ascii="한컴바탕" w:eastAsia="한컴바탕" w:hAnsi="한컴바탕" w:cs="한컴바탕" w:hint="eastAsia"/>
                <w:szCs w:val="21"/>
                <w:lang w:eastAsia="ko-KR"/>
              </w:rPr>
              <w:t xml:space="preserve">본 통지는 발표일로부터 시행한다. 각 분국, 외환관리부는 본 통지를 수령한 후, 최대한 빨리 관할 내의 중심지국 및 지국과 은행에 배포해야 한다. 각 중외 외환지정 은행은 본 통지를 수령한 후, 최대한 빨리 각 분지기구에 배포해야 한다. 배포 중 문제가 있을 경우, 즉시 국가외환관리국으로 연락하기 바란다. </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hint="eastAsia"/>
                <w:szCs w:val="21"/>
                <w:lang w:eastAsia="ko-KR"/>
              </w:rPr>
            </w:pP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r w:rsidRPr="006E268F">
              <w:rPr>
                <w:rFonts w:ascii="한컴바탕" w:eastAsia="한컴바탕" w:hAnsi="한컴바탕" w:cs="한컴바탕" w:hint="eastAsia"/>
                <w:szCs w:val="21"/>
                <w:lang w:eastAsia="ko-KR"/>
              </w:rPr>
              <w:t>연락전화: 010-68402295，68402450，68402366</w:t>
            </w:r>
          </w:p>
          <w:p w:rsidR="00FC63CE" w:rsidRPr="006E268F" w:rsidRDefault="00FC63CE" w:rsidP="006E268F">
            <w:pPr>
              <w:wordWrap w:val="0"/>
              <w:topLinePunct/>
              <w:autoSpaceDN w:val="0"/>
              <w:adjustRightInd w:val="0"/>
              <w:snapToGrid w:val="0"/>
              <w:spacing w:line="290" w:lineRule="atLeast"/>
              <w:ind w:firstLineChars="100" w:firstLine="210"/>
              <w:rPr>
                <w:rFonts w:ascii="한컴바탕" w:eastAsia="한컴바탕" w:hAnsi="한컴바탕" w:cs="한컴바탕"/>
                <w:szCs w:val="21"/>
                <w:lang w:eastAsia="ko-KR"/>
              </w:rPr>
            </w:pPr>
          </w:p>
          <w:p w:rsidR="00FC63CE" w:rsidRPr="006E268F" w:rsidRDefault="00FC63CE" w:rsidP="006E268F">
            <w:pPr>
              <w:wordWrap w:val="0"/>
              <w:topLinePunct/>
              <w:autoSpaceDN w:val="0"/>
              <w:snapToGrid w:val="0"/>
              <w:spacing w:line="290" w:lineRule="atLeast"/>
              <w:ind w:firstLineChars="100" w:firstLine="210"/>
              <w:rPr>
                <w:rFonts w:ascii="한컴바탕" w:eastAsia="한컴바탕" w:hAnsi="한컴바탕" w:cs="한컴바탕"/>
                <w:szCs w:val="21"/>
              </w:rPr>
            </w:pPr>
          </w:p>
          <w:p w:rsidR="00CA31FE" w:rsidRPr="006E268F" w:rsidRDefault="00CA31FE" w:rsidP="006E268F">
            <w:pPr>
              <w:wordWrap w:val="0"/>
              <w:autoSpaceDN w:val="0"/>
              <w:snapToGrid w:val="0"/>
              <w:spacing w:line="290" w:lineRule="atLeast"/>
              <w:rPr>
                <w:rFonts w:ascii="한컴바탕" w:eastAsia="한컴바탕" w:hAnsi="한컴바탕" w:cs="한컴바탕"/>
                <w:szCs w:val="21"/>
              </w:rPr>
            </w:pPr>
          </w:p>
        </w:tc>
        <w:tc>
          <w:tcPr>
            <w:tcW w:w="539" w:type="dxa"/>
          </w:tcPr>
          <w:p w:rsidR="00CA31FE" w:rsidRPr="006E268F" w:rsidRDefault="00CA31FE" w:rsidP="006E268F">
            <w:pPr>
              <w:snapToGrid w:val="0"/>
              <w:spacing w:line="290" w:lineRule="atLeast"/>
              <w:rPr>
                <w:szCs w:val="21"/>
              </w:rPr>
            </w:pPr>
          </w:p>
        </w:tc>
        <w:tc>
          <w:tcPr>
            <w:tcW w:w="3958" w:type="dxa"/>
          </w:tcPr>
          <w:p w:rsidR="00556A77" w:rsidRDefault="00FC63CE" w:rsidP="00556A77">
            <w:pPr>
              <w:snapToGrid w:val="0"/>
              <w:spacing w:line="290" w:lineRule="atLeast"/>
              <w:jc w:val="center"/>
              <w:rPr>
                <w:rFonts w:ascii="SimSun" w:hAnsi="SimSun" w:hint="eastAsia"/>
                <w:b/>
                <w:sz w:val="26"/>
                <w:szCs w:val="26"/>
              </w:rPr>
            </w:pPr>
            <w:r w:rsidRPr="00556A77">
              <w:rPr>
                <w:rFonts w:ascii="SimSun" w:hAnsi="SimSun" w:hint="eastAsia"/>
                <w:b/>
                <w:sz w:val="26"/>
                <w:szCs w:val="26"/>
              </w:rPr>
              <w:t>国家外汇管理局关于加强外汇</w:t>
            </w:r>
          </w:p>
          <w:p w:rsidR="00FC63CE" w:rsidRPr="00556A77" w:rsidRDefault="00FC63CE" w:rsidP="00556A77">
            <w:pPr>
              <w:snapToGrid w:val="0"/>
              <w:spacing w:line="290" w:lineRule="atLeast"/>
              <w:jc w:val="center"/>
              <w:rPr>
                <w:rFonts w:ascii="SimSun" w:hAnsi="SimSun" w:hint="eastAsia"/>
                <w:b/>
                <w:sz w:val="26"/>
                <w:szCs w:val="26"/>
              </w:rPr>
            </w:pPr>
            <w:r w:rsidRPr="00556A77">
              <w:rPr>
                <w:rFonts w:ascii="SimSun" w:hAnsi="SimSun" w:hint="eastAsia"/>
                <w:b/>
                <w:sz w:val="26"/>
                <w:szCs w:val="26"/>
              </w:rPr>
              <w:t>业务管理有关问题的通知</w:t>
            </w:r>
          </w:p>
          <w:p w:rsidR="00FC63CE" w:rsidRPr="006E268F" w:rsidRDefault="00FC63CE" w:rsidP="006E268F">
            <w:pPr>
              <w:snapToGrid w:val="0"/>
              <w:spacing w:line="290" w:lineRule="atLeast"/>
              <w:jc w:val="center"/>
              <w:rPr>
                <w:rFonts w:ascii="SimSun" w:hAnsi="SimSun" w:hint="eastAsia"/>
                <w:szCs w:val="21"/>
              </w:rPr>
            </w:pPr>
            <w:r w:rsidRPr="006E268F">
              <w:rPr>
                <w:rFonts w:ascii="SimSun" w:hAnsi="SimSun" w:hint="eastAsia"/>
                <w:szCs w:val="21"/>
              </w:rPr>
              <w:t>汇发【2010】59号，2010年11月9日</w:t>
            </w:r>
          </w:p>
          <w:p w:rsidR="00FC63CE" w:rsidRPr="006E268F" w:rsidRDefault="00FC63CE" w:rsidP="006E268F">
            <w:pPr>
              <w:snapToGrid w:val="0"/>
              <w:spacing w:line="290" w:lineRule="atLeast"/>
              <w:ind w:firstLineChars="200" w:firstLine="420"/>
              <w:rPr>
                <w:rFonts w:ascii="SimSun" w:hAnsi="SimSun"/>
                <w:szCs w:val="21"/>
              </w:rPr>
            </w:pPr>
          </w:p>
          <w:p w:rsidR="00FC63CE" w:rsidRPr="006E268F" w:rsidRDefault="00FC63CE" w:rsidP="006E268F">
            <w:pPr>
              <w:snapToGrid w:val="0"/>
              <w:spacing w:line="290" w:lineRule="atLeast"/>
              <w:ind w:firstLineChars="200" w:firstLine="420"/>
              <w:rPr>
                <w:rFonts w:ascii="SimSun" w:hAnsi="SimSun"/>
                <w:szCs w:val="21"/>
              </w:rPr>
            </w:pPr>
          </w:p>
          <w:p w:rsidR="00FC63CE" w:rsidRPr="00556A77" w:rsidRDefault="00FC63CE" w:rsidP="00556A77">
            <w:pPr>
              <w:snapToGrid w:val="0"/>
              <w:spacing w:line="290" w:lineRule="atLeast"/>
              <w:ind w:firstLineChars="200" w:firstLine="380"/>
              <w:rPr>
                <w:rFonts w:ascii="SimSun" w:hAnsi="SimSun" w:hint="eastAsia"/>
                <w:spacing w:val="-10"/>
                <w:szCs w:val="21"/>
              </w:rPr>
            </w:pPr>
            <w:r w:rsidRPr="00556A77">
              <w:rPr>
                <w:rFonts w:ascii="SimSun" w:hAnsi="SimSun" w:hint="eastAsia"/>
                <w:spacing w:val="-10"/>
                <w:szCs w:val="21"/>
              </w:rPr>
              <w:t>国家外汇管理局各省、自治区、直辖市分局、外汇管理部，深圳、大连、青岛、厦门、宁波市分局；各中资外汇指定银行：</w:t>
            </w:r>
          </w:p>
          <w:p w:rsidR="00FC63CE" w:rsidRPr="006E268F" w:rsidRDefault="00FC63CE" w:rsidP="006E268F">
            <w:pPr>
              <w:snapToGrid w:val="0"/>
              <w:spacing w:line="290" w:lineRule="atLeast"/>
              <w:ind w:firstLineChars="200" w:firstLine="420"/>
              <w:rPr>
                <w:rFonts w:ascii="SimSun" w:hAnsi="SimSun" w:hint="eastAsia"/>
                <w:szCs w:val="21"/>
              </w:rPr>
            </w:pPr>
            <w:r w:rsidRPr="006E268F">
              <w:rPr>
                <w:rFonts w:ascii="SimSun" w:hAnsi="SimSun" w:hint="eastAsia"/>
                <w:szCs w:val="21"/>
              </w:rPr>
              <w:t>为防范跨境资本流动带来的金融风险，现就加强有关外汇业务管理问题通知如下：</w:t>
            </w:r>
          </w:p>
          <w:p w:rsidR="00FC63CE" w:rsidRPr="00556A77" w:rsidRDefault="00FC63CE" w:rsidP="00556A77">
            <w:pPr>
              <w:snapToGrid w:val="0"/>
              <w:spacing w:line="290" w:lineRule="atLeast"/>
              <w:ind w:firstLineChars="200" w:firstLine="500"/>
              <w:rPr>
                <w:rFonts w:ascii="SimSun" w:hAnsi="SimSun" w:hint="eastAsia"/>
                <w:spacing w:val="20"/>
                <w:szCs w:val="21"/>
              </w:rPr>
            </w:pPr>
            <w:r w:rsidRPr="00556A77">
              <w:rPr>
                <w:rFonts w:ascii="SimSun" w:hAnsi="SimSun" w:hint="eastAsia"/>
                <w:spacing w:val="20"/>
                <w:szCs w:val="21"/>
              </w:rPr>
              <w:t>一、加强银行结售汇综合头寸管理。在现有银行结售汇综合头寸限额管理基础上，对银行按照收付实现制原则计算的头寸余额实行下限管理，下限为各行</w:t>
            </w:r>
            <w:smartTag w:uri="urn:schemas-microsoft-com:office:smarttags" w:element="chsdate">
              <w:smartTagPr>
                <w:attr w:name="IsROCDate" w:val="False"/>
                <w:attr w:name="IsLunarDate" w:val="False"/>
                <w:attr w:name="Day" w:val="8"/>
                <w:attr w:name="Month" w:val="11"/>
                <w:attr w:name="Year" w:val="2010"/>
              </w:smartTagPr>
              <w:r w:rsidRPr="00556A77">
                <w:rPr>
                  <w:rFonts w:ascii="SimSun" w:hAnsi="SimSun" w:hint="eastAsia"/>
                  <w:spacing w:val="20"/>
                  <w:szCs w:val="21"/>
                </w:rPr>
                <w:t>2010年11月8日</w:t>
              </w:r>
            </w:smartTag>
            <w:r w:rsidRPr="00556A77">
              <w:rPr>
                <w:rFonts w:ascii="SimSun" w:hAnsi="SimSun" w:hint="eastAsia"/>
                <w:spacing w:val="20"/>
                <w:szCs w:val="21"/>
              </w:rPr>
              <w:t>《结售汇综合头寸日报表》中“当日收付实现制头寸”。</w:t>
            </w:r>
          </w:p>
          <w:p w:rsidR="00FC63CE" w:rsidRPr="00556A77" w:rsidRDefault="00FC63CE" w:rsidP="00556A77">
            <w:pPr>
              <w:snapToGrid w:val="0"/>
              <w:spacing w:line="290" w:lineRule="atLeast"/>
              <w:ind w:firstLineChars="200" w:firstLine="468"/>
              <w:rPr>
                <w:rFonts w:ascii="SimSun" w:hAnsi="SimSun" w:hint="eastAsia"/>
                <w:spacing w:val="12"/>
                <w:szCs w:val="21"/>
              </w:rPr>
            </w:pPr>
            <w:r w:rsidRPr="00556A77">
              <w:rPr>
                <w:rFonts w:ascii="SimSun" w:hAnsi="SimSun" w:hint="eastAsia"/>
                <w:spacing w:val="12"/>
                <w:szCs w:val="21"/>
              </w:rPr>
              <w:t>二、严格出口收结汇联网核查管理。取消“企业因出口数据传输时滞原因导致可收汇余额暂时不足时，银行可凭企业承诺说明函先行为企业办理待核查账户资金结汇或划转”的规定，银行需根据企业可收汇余额办理额度内待核查账户资金结汇或划转。将来料加工收汇比例统一由30％调整为20％，对于来料加工贸易项下单笔出口货物报关单实际收汇比例高于20％的，银行应按照现行来料加工超比例收汇相关规定办理。</w:t>
            </w:r>
          </w:p>
          <w:p w:rsidR="00FC63CE" w:rsidRPr="006E268F" w:rsidRDefault="00FC63CE" w:rsidP="006E268F">
            <w:pPr>
              <w:snapToGrid w:val="0"/>
              <w:spacing w:line="290" w:lineRule="atLeast"/>
              <w:ind w:firstLineChars="200" w:firstLine="420"/>
              <w:rPr>
                <w:rFonts w:ascii="SimSun" w:hAnsi="SimSun" w:hint="eastAsia"/>
                <w:szCs w:val="21"/>
              </w:rPr>
            </w:pPr>
            <w:r w:rsidRPr="006E268F">
              <w:rPr>
                <w:rFonts w:ascii="SimSun" w:hAnsi="SimSun" w:hint="eastAsia"/>
                <w:szCs w:val="21"/>
              </w:rPr>
              <w:t>三、严格金融机构短期外债指标和对外担保余额管理。银行为客户开立远期信用证后，再为该笔付款业务叙作海外代付的，如两者期限合计超过90天，则海外代付项下金额应纳入短期外债余额指标控制。外汇局通过交叉比对监管数据和银行内部业务数据，监测预警银行违规借用短期外债与提供融资性对外担保等情况，严格控制银行超指标经营行为。</w:t>
            </w:r>
          </w:p>
          <w:p w:rsidR="00ED742C" w:rsidRDefault="00FC63CE" w:rsidP="006E268F">
            <w:pPr>
              <w:snapToGrid w:val="0"/>
              <w:spacing w:line="290" w:lineRule="atLeast"/>
              <w:ind w:firstLineChars="200" w:firstLine="420"/>
              <w:rPr>
                <w:rFonts w:ascii="SimSun" w:hAnsi="SimSun" w:hint="eastAsia"/>
                <w:szCs w:val="21"/>
              </w:rPr>
            </w:pPr>
            <w:r w:rsidRPr="006E268F">
              <w:rPr>
                <w:rFonts w:ascii="SimSun" w:hAnsi="SimSun" w:hint="eastAsia"/>
                <w:szCs w:val="21"/>
              </w:rPr>
              <w:t>四、加强对外商投资企业境外投资者出资的管理。若实际缴款人与外商投资企业的境外投资者不一致，外商投资</w:t>
            </w:r>
          </w:p>
          <w:p w:rsidR="00ED742C" w:rsidRDefault="00ED742C" w:rsidP="006E268F">
            <w:pPr>
              <w:snapToGrid w:val="0"/>
              <w:spacing w:line="290" w:lineRule="atLeast"/>
              <w:ind w:firstLineChars="200" w:firstLine="420"/>
              <w:rPr>
                <w:rFonts w:ascii="SimSun" w:hAnsi="SimSun" w:hint="eastAsia"/>
                <w:szCs w:val="21"/>
              </w:rPr>
            </w:pPr>
          </w:p>
          <w:p w:rsidR="00FC63CE" w:rsidRPr="006E268F" w:rsidRDefault="00FC63CE" w:rsidP="00ED742C">
            <w:pPr>
              <w:snapToGrid w:val="0"/>
              <w:spacing w:line="290" w:lineRule="atLeast"/>
              <w:rPr>
                <w:rFonts w:ascii="SimSun" w:hAnsi="SimSun" w:hint="eastAsia"/>
                <w:szCs w:val="21"/>
              </w:rPr>
            </w:pPr>
            <w:r w:rsidRPr="006E268F">
              <w:rPr>
                <w:rFonts w:ascii="SimSun" w:hAnsi="SimSun" w:hint="eastAsia"/>
                <w:szCs w:val="21"/>
              </w:rPr>
              <w:lastRenderedPageBreak/>
              <w:t>企业委托会计师事务所向外汇局验资询证时，须提交经公证的相关代为出资证明。</w:t>
            </w:r>
          </w:p>
          <w:p w:rsidR="00FC63CE" w:rsidRPr="00556A77" w:rsidRDefault="00FC63CE" w:rsidP="00556A77">
            <w:pPr>
              <w:snapToGrid w:val="0"/>
              <w:spacing w:line="290" w:lineRule="atLeast"/>
              <w:ind w:firstLineChars="200" w:firstLine="444"/>
              <w:rPr>
                <w:rFonts w:ascii="SimSun" w:hAnsi="SimSun" w:hint="eastAsia"/>
                <w:spacing w:val="6"/>
                <w:szCs w:val="21"/>
              </w:rPr>
            </w:pPr>
            <w:r w:rsidRPr="00556A77">
              <w:rPr>
                <w:rFonts w:ascii="SimSun" w:hAnsi="SimSun" w:hint="eastAsia"/>
                <w:spacing w:val="6"/>
                <w:szCs w:val="21"/>
              </w:rPr>
              <w:t>五、按照支付结汇制的要求，加强境外上市募集资金调回结汇的真实性审核。真实性证明材料参照外商投资企业外汇资本金结汇的相关外汇管理规定执行。结汇需符合招股说明书所列用途，对于超募部分或超出招股说明书用途的部分，另需提交与其结汇用途相关的董事会决议。应当结汇支付给交易对方的，不得结汇留存于自身人民币账户。</w:t>
            </w:r>
          </w:p>
          <w:p w:rsidR="00FC63CE" w:rsidRPr="006E268F" w:rsidRDefault="00FC63CE" w:rsidP="006E268F">
            <w:pPr>
              <w:snapToGrid w:val="0"/>
              <w:spacing w:line="290" w:lineRule="atLeast"/>
              <w:ind w:firstLineChars="200" w:firstLine="420"/>
              <w:rPr>
                <w:rFonts w:ascii="SimSun" w:hAnsi="SimSun" w:hint="eastAsia"/>
                <w:szCs w:val="21"/>
              </w:rPr>
            </w:pPr>
            <w:r w:rsidRPr="006E268F">
              <w:rPr>
                <w:rFonts w:ascii="SimSun" w:hAnsi="SimSun" w:hint="eastAsia"/>
                <w:szCs w:val="21"/>
              </w:rPr>
              <w:t>六、加强对境内机构和个人设立境外特殊目的公司的管理，对违规企业和个人进行处罚。</w:t>
            </w:r>
          </w:p>
          <w:p w:rsidR="00FC63CE" w:rsidRPr="00556A77" w:rsidRDefault="00FC63CE" w:rsidP="00556A77">
            <w:pPr>
              <w:snapToGrid w:val="0"/>
              <w:spacing w:line="290" w:lineRule="atLeast"/>
              <w:ind w:firstLineChars="200" w:firstLine="500"/>
              <w:rPr>
                <w:rFonts w:ascii="SimSun" w:hAnsi="SimSun"/>
                <w:spacing w:val="20"/>
                <w:szCs w:val="21"/>
              </w:rPr>
            </w:pPr>
            <w:r w:rsidRPr="00556A77">
              <w:rPr>
                <w:rFonts w:ascii="SimSun" w:hAnsi="SimSun" w:hint="eastAsia"/>
                <w:spacing w:val="20"/>
                <w:szCs w:val="21"/>
              </w:rPr>
              <w:t>七、严格依法对违规银行进行处罚。银行要依法加强对客户交易真实性与外汇收支一致性的审核。对违反外汇管理规定导致违规资金流入的银行，外汇局将依法予以罚款、停止经营相关业务、通报批评等处罚，并追究负有直接责任的高级管理人员相关责任。</w:t>
            </w:r>
          </w:p>
          <w:p w:rsidR="00FC63CE" w:rsidRDefault="00FC63CE" w:rsidP="00556A77">
            <w:pPr>
              <w:snapToGrid w:val="0"/>
              <w:spacing w:line="290" w:lineRule="atLeast"/>
              <w:ind w:firstLineChars="200" w:firstLine="444"/>
              <w:rPr>
                <w:rFonts w:ascii="SimSun" w:hAnsi="SimSun" w:hint="eastAsia"/>
                <w:spacing w:val="6"/>
                <w:szCs w:val="21"/>
              </w:rPr>
            </w:pPr>
            <w:r w:rsidRPr="00556A77">
              <w:rPr>
                <w:rFonts w:ascii="SimSun" w:hAnsi="SimSun" w:hint="eastAsia"/>
                <w:spacing w:val="6"/>
                <w:szCs w:val="21"/>
              </w:rPr>
              <w:t>本通知自发布之日起实施。各分局、外汇管理部收到本通知后，应尽快转发辖内中心支局、支局和辖内银行。各中资外汇指定银行收到本通知后，应尽快转发其分支机构。执行中如遇问题，请及时向国家外汇管理局反馈。</w:t>
            </w:r>
          </w:p>
          <w:p w:rsidR="00556A77" w:rsidRPr="00556A77" w:rsidRDefault="00556A77" w:rsidP="00556A77">
            <w:pPr>
              <w:snapToGrid w:val="0"/>
              <w:spacing w:line="290" w:lineRule="atLeast"/>
              <w:ind w:firstLineChars="200" w:firstLine="444"/>
              <w:rPr>
                <w:rFonts w:ascii="SimSun" w:hAnsi="SimSun" w:hint="eastAsia"/>
                <w:spacing w:val="6"/>
                <w:szCs w:val="21"/>
              </w:rPr>
            </w:pPr>
          </w:p>
          <w:p w:rsidR="00FC63CE" w:rsidRPr="006E268F" w:rsidRDefault="00FC63CE" w:rsidP="006E268F">
            <w:pPr>
              <w:snapToGrid w:val="0"/>
              <w:spacing w:line="290" w:lineRule="atLeast"/>
              <w:ind w:firstLineChars="200" w:firstLine="420"/>
              <w:rPr>
                <w:rFonts w:ascii="SimSun" w:hAnsi="SimSun"/>
                <w:szCs w:val="21"/>
              </w:rPr>
            </w:pPr>
            <w:r w:rsidRPr="006E268F">
              <w:rPr>
                <w:rFonts w:ascii="SimSun" w:hAnsi="SimSun" w:hint="eastAsia"/>
                <w:szCs w:val="21"/>
              </w:rPr>
              <w:t>联系电话：010-68402295，68402450，68402366</w:t>
            </w:r>
          </w:p>
          <w:p w:rsidR="00CA31FE" w:rsidRPr="006E268F" w:rsidRDefault="00CA31FE" w:rsidP="006E268F">
            <w:pPr>
              <w:snapToGrid w:val="0"/>
              <w:spacing w:line="290" w:lineRule="atLeast"/>
              <w:rPr>
                <w:rFonts w:ascii="SimSun" w:hAnsi="SimSun"/>
                <w:szCs w:val="21"/>
              </w:rPr>
            </w:pPr>
          </w:p>
        </w:tc>
      </w:tr>
    </w:tbl>
    <w:p w:rsidR="00777641" w:rsidRDefault="00777641"/>
    <w:sectPr w:rsidR="00777641" w:rsidSect="00CA31F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3F0" w:rsidRDefault="001B23F0" w:rsidP="00CA31FE">
      <w:r>
        <w:separator/>
      </w:r>
    </w:p>
  </w:endnote>
  <w:endnote w:type="continuationSeparator" w:id="1">
    <w:p w:rsidR="001B23F0" w:rsidRDefault="001B23F0" w:rsidP="00CA31F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한컴바탕">
    <w:panose1 w:val="02030600000101010101"/>
    <w:charset w:val="81"/>
    <w:family w:val="roman"/>
    <w:pitch w:val="variable"/>
    <w:sig w:usb0="F7FFAFFF" w:usb1="FBDFFFFF" w:usb2="00FFFFFF" w:usb3="00000000" w:csb0="8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3F0" w:rsidRDefault="001B23F0" w:rsidP="00CA31FE">
      <w:r>
        <w:separator/>
      </w:r>
    </w:p>
  </w:footnote>
  <w:footnote w:type="continuationSeparator" w:id="1">
    <w:p w:rsidR="001B23F0" w:rsidRDefault="001B23F0" w:rsidP="00CA31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31FE"/>
    <w:rsid w:val="001B23F0"/>
    <w:rsid w:val="00306A88"/>
    <w:rsid w:val="00556A77"/>
    <w:rsid w:val="006E268F"/>
    <w:rsid w:val="00777641"/>
    <w:rsid w:val="00CA31FE"/>
    <w:rsid w:val="00ED742C"/>
    <w:rsid w:val="00FC63C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3CE"/>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31F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
    <w:name w:val="머리글 Char"/>
    <w:basedOn w:val="a0"/>
    <w:link w:val="a3"/>
    <w:uiPriority w:val="99"/>
    <w:semiHidden/>
    <w:rsid w:val="00CA31FE"/>
  </w:style>
  <w:style w:type="paragraph" w:styleId="a4">
    <w:name w:val="footer"/>
    <w:basedOn w:val="a"/>
    <w:link w:val="Char0"/>
    <w:uiPriority w:val="99"/>
    <w:semiHidden/>
    <w:unhideWhenUsed/>
    <w:rsid w:val="00CA31FE"/>
    <w:pPr>
      <w:tabs>
        <w:tab w:val="center" w:pos="4513"/>
        <w:tab w:val="right" w:pos="9026"/>
      </w:tabs>
      <w:wordWrap w:val="0"/>
      <w:autoSpaceDE w:val="0"/>
      <w:autoSpaceDN w:val="0"/>
      <w:snapToGrid w:val="0"/>
    </w:pPr>
    <w:rPr>
      <w:rFonts w:asciiTheme="minorHAnsi" w:eastAsiaTheme="minorEastAsia" w:hAnsiTheme="minorHAnsi" w:cstheme="minorBidi"/>
      <w:sz w:val="20"/>
      <w:szCs w:val="22"/>
      <w:lang w:eastAsia="ko-KR"/>
    </w:rPr>
  </w:style>
  <w:style w:type="character" w:customStyle="1" w:styleId="Char0">
    <w:name w:val="바닥글 Char"/>
    <w:basedOn w:val="a0"/>
    <w:link w:val="a4"/>
    <w:uiPriority w:val="99"/>
    <w:semiHidden/>
    <w:rsid w:val="00CA31FE"/>
  </w:style>
  <w:style w:type="table" w:styleId="a5">
    <w:name w:val="Table Grid"/>
    <w:basedOn w:val="a1"/>
    <w:uiPriority w:val="59"/>
    <w:rsid w:val="00CA31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6</cp:revision>
  <dcterms:created xsi:type="dcterms:W3CDTF">2010-11-12T07:18:00Z</dcterms:created>
  <dcterms:modified xsi:type="dcterms:W3CDTF">2010-11-12T07:35:00Z</dcterms:modified>
</cp:coreProperties>
</file>